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C396" w14:textId="77777777" w:rsidR="00DF35A9" w:rsidRDefault="00DF35A9" w:rsidP="00DF35A9">
      <w:pPr>
        <w:pStyle w:val="SpacebeforeTitle"/>
        <w:tabs>
          <w:tab w:val="left" w:pos="2925"/>
        </w:tabs>
        <w:spacing w:after="480"/>
      </w:pPr>
      <w:r>
        <w:tab/>
      </w:r>
    </w:p>
    <w:p w14:paraId="2A2D361F" w14:textId="70314A31" w:rsidR="00DF35A9" w:rsidRPr="00352F6B" w:rsidRDefault="00DF35A9" w:rsidP="00DF35A9">
      <w:pPr>
        <w:pStyle w:val="Title"/>
        <w:spacing w:line="240" w:lineRule="auto"/>
        <w:ind w:left="-709" w:right="-709"/>
        <w:jc w:val="center"/>
        <w:rPr>
          <w:sz w:val="32"/>
          <w:szCs w:val="32"/>
        </w:rPr>
      </w:pPr>
      <w:r>
        <w:rPr>
          <w:sz w:val="32"/>
          <w:szCs w:val="32"/>
        </w:rPr>
        <w:t xml:space="preserve">Australia’s </w:t>
      </w:r>
      <w:r w:rsidRPr="00352F6B">
        <w:rPr>
          <w:sz w:val="32"/>
          <w:szCs w:val="32"/>
        </w:rPr>
        <w:t xml:space="preserve">Foreign Relations </w:t>
      </w:r>
    </w:p>
    <w:p w14:paraId="23821AEE" w14:textId="77777777" w:rsidR="00DF35A9" w:rsidRPr="00352F6B" w:rsidRDefault="00DF35A9" w:rsidP="00DF35A9">
      <w:pPr>
        <w:pStyle w:val="Title"/>
        <w:spacing w:line="240" w:lineRule="auto"/>
        <w:ind w:left="-709" w:right="-709"/>
        <w:jc w:val="center"/>
        <w:rPr>
          <w:sz w:val="32"/>
          <w:szCs w:val="32"/>
        </w:rPr>
      </w:pPr>
      <w:r w:rsidRPr="00352F6B">
        <w:rPr>
          <w:sz w:val="32"/>
          <w:szCs w:val="32"/>
        </w:rPr>
        <w:t>(State and Territory Arrangements) ACT 2020</w:t>
      </w:r>
    </w:p>
    <w:p w14:paraId="514FE3DE" w14:textId="4FF66D3C" w:rsidR="00DF35A9" w:rsidRPr="00352F6B" w:rsidRDefault="002639A3" w:rsidP="00DF35A9">
      <w:pPr>
        <w:pStyle w:val="Subtitle"/>
        <w:spacing w:before="0" w:after="0" w:line="240" w:lineRule="auto"/>
        <w:jc w:val="center"/>
        <w:rPr>
          <w:sz w:val="32"/>
          <w:szCs w:val="32"/>
        </w:rPr>
      </w:pPr>
      <w:r w:rsidRPr="003B0798">
        <w:rPr>
          <w:noProof/>
          <w:lang w:val="en-AU" w:eastAsia="en-AU"/>
        </w:rPr>
        <mc:AlternateContent>
          <mc:Choice Requires="wps">
            <w:drawing>
              <wp:anchor distT="0" distB="0" distL="114300" distR="114300" simplePos="0" relativeHeight="251658240" behindDoc="1" locked="0" layoutInCell="1" allowOverlap="1" wp14:anchorId="15FAAF5A" wp14:editId="4EFEF389">
                <wp:simplePos x="0" y="0"/>
                <wp:positionH relativeFrom="margin">
                  <wp:align>right</wp:align>
                </wp:positionH>
                <wp:positionV relativeFrom="paragraph">
                  <wp:posOffset>523240</wp:posOffset>
                </wp:positionV>
                <wp:extent cx="6086475" cy="1123950"/>
                <wp:effectExtent l="0" t="0" r="28575" b="19050"/>
                <wp:wrapTight wrapText="bothSides">
                  <wp:wrapPolygon edited="0">
                    <wp:start x="0" y="0"/>
                    <wp:lineTo x="0" y="21600"/>
                    <wp:lineTo x="21634" y="21600"/>
                    <wp:lineTo x="2163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23950"/>
                        </a:xfrm>
                        <a:prstGeom prst="rect">
                          <a:avLst/>
                        </a:prstGeom>
                        <a:solidFill>
                          <a:sysClr val="window" lastClr="FFFFFF"/>
                        </a:solidFill>
                        <a:ln w="12700" cap="flat" cmpd="sng" algn="ctr">
                          <a:solidFill>
                            <a:srgbClr val="65C5B4"/>
                          </a:solidFill>
                          <a:prstDash val="solid"/>
                          <a:miter lim="800000"/>
                          <a:headEnd/>
                          <a:tailEnd/>
                        </a:ln>
                        <a:effectLst/>
                      </wps:spPr>
                      <wps:txbx>
                        <w:txbxContent>
                          <w:p w14:paraId="2D4A84E2" w14:textId="0EC5BD66" w:rsidR="00DF35A9" w:rsidRPr="00D74E8D" w:rsidRDefault="0077550C" w:rsidP="007A6AB9">
                            <w:pPr>
                              <w:spacing w:before="0"/>
                              <w:rPr>
                                <w:b/>
                                <w:bCs/>
                              </w:rPr>
                            </w:pPr>
                            <w:r>
                              <w:rPr>
                                <w:b/>
                                <w:bCs/>
                              </w:rPr>
                              <w:t>State and Territor</w:t>
                            </w:r>
                            <w:r w:rsidR="00D24F06">
                              <w:rPr>
                                <w:b/>
                                <w:bCs/>
                              </w:rPr>
                              <w:t>y entities</w:t>
                            </w:r>
                            <w:r>
                              <w:rPr>
                                <w:b/>
                                <w:bCs/>
                              </w:rPr>
                              <w:t xml:space="preserve"> play an important role in advancing Australia’s interests globally</w:t>
                            </w:r>
                            <w:r w:rsidR="0015511F">
                              <w:rPr>
                                <w:b/>
                                <w:bCs/>
                              </w:rPr>
                              <w:t xml:space="preserve">. The Foreign Arrangements Scheme, </w:t>
                            </w:r>
                            <w:r w:rsidR="00D24F06">
                              <w:rPr>
                                <w:b/>
                                <w:bCs/>
                              </w:rPr>
                              <w:t>established by</w:t>
                            </w:r>
                            <w:r>
                              <w:rPr>
                                <w:b/>
                                <w:bCs/>
                              </w:rPr>
                              <w:t xml:space="preserve"> </w:t>
                            </w:r>
                            <w:r w:rsidR="00DF35A9" w:rsidRPr="007A6AB9">
                              <w:rPr>
                                <w:b/>
                                <w:bCs/>
                                <w:i/>
                              </w:rPr>
                              <w:t>Australia’s Foreign Relations (State and Territory Arrangements) Act 2020</w:t>
                            </w:r>
                            <w:r w:rsidR="00D24F06">
                              <w:rPr>
                                <w:b/>
                                <w:bCs/>
                                <w:i/>
                              </w:rPr>
                              <w:t>,</w:t>
                            </w:r>
                            <w:r w:rsidR="00DF35A9" w:rsidRPr="00D74E8D">
                              <w:rPr>
                                <w:b/>
                                <w:bCs/>
                              </w:rPr>
                              <w:t xml:space="preserve"> fosters a systematic and consistent approach to foreign engagement across all levels of Australian government. It ensure</w:t>
                            </w:r>
                            <w:r w:rsidR="0015511F">
                              <w:rPr>
                                <w:b/>
                                <w:bCs/>
                              </w:rPr>
                              <w:t>s</w:t>
                            </w:r>
                            <w:r w:rsidR="00DF35A9" w:rsidRPr="00D74E8D">
                              <w:rPr>
                                <w:b/>
                                <w:bCs/>
                              </w:rPr>
                              <w:t xml:space="preserve"> that arrangements between State or Territory </w:t>
                            </w:r>
                            <w:r w:rsidR="00F54390">
                              <w:rPr>
                                <w:b/>
                                <w:bCs/>
                              </w:rPr>
                              <w:t>entities</w:t>
                            </w:r>
                            <w:r w:rsidR="00F54390" w:rsidRPr="00D74E8D">
                              <w:rPr>
                                <w:b/>
                                <w:bCs/>
                              </w:rPr>
                              <w:t xml:space="preserve"> </w:t>
                            </w:r>
                            <w:r w:rsidR="00DF35A9" w:rsidRPr="00D74E8D">
                              <w:rPr>
                                <w:b/>
                                <w:bCs/>
                              </w:rPr>
                              <w:t>and foreign government</w:t>
                            </w:r>
                            <w:r w:rsidR="00D230DA">
                              <w:rPr>
                                <w:b/>
                                <w:bCs/>
                              </w:rPr>
                              <w:t xml:space="preserve"> </w:t>
                            </w:r>
                            <w:r w:rsidR="00D230DA" w:rsidRPr="003B0798">
                              <w:rPr>
                                <w:b/>
                                <w:bCs/>
                              </w:rPr>
                              <w:t>entities</w:t>
                            </w:r>
                            <w:r w:rsidR="00F54390">
                              <w:rPr>
                                <w:b/>
                                <w:bCs/>
                              </w:rPr>
                              <w:t xml:space="preserve"> </w:t>
                            </w:r>
                            <w:r w:rsidR="00DF35A9" w:rsidRPr="00D74E8D">
                              <w:rPr>
                                <w:b/>
                                <w:bCs/>
                              </w:rPr>
                              <w:t xml:space="preserve">do not adversely affect Australia’s foreign relations and are not inconsistent with Australia’s foreign policy.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5FAAF5A" id="_x0000_t202" coordsize="21600,21600" o:spt="202" path="m,l,21600r21600,l21600,xe">
                <v:stroke joinstyle="miter"/>
                <v:path gradientshapeok="t" o:connecttype="rect"/>
              </v:shapetype>
              <v:shape id="Text Box 2" o:spid="_x0000_s1026" type="#_x0000_t202" style="position:absolute;left:0;text-align:left;margin-left:428.05pt;margin-top:41.2pt;width:479.25pt;height:88.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" fillcolor="window" strokecolor="#65c5b4" strokeweight="1pt">
                <v:textbox>
                  <w:txbxContent>
                    <w:p w14:paraId="2D4A84E2" w14:textId="0EC5BD66" w:rsidR="00DF35A9" w:rsidRPr="00D74E8D" w:rsidRDefault="0077550C" w:rsidP="007A6AB9">
                      <w:pPr>
                        <w:spacing w:before="0"/>
                        <w:rPr>
                          <w:b/>
                          <w:bCs/>
                        </w:rPr>
                      </w:pPr>
                      <w:r>
                        <w:rPr>
                          <w:b/>
                          <w:bCs/>
                        </w:rPr>
                        <w:t>State and Territor</w:t>
                      </w:r>
                      <w:r w:rsidR="00D24F06">
                        <w:rPr>
                          <w:b/>
                          <w:bCs/>
                        </w:rPr>
                        <w:t>y entities</w:t>
                      </w:r>
                      <w:r>
                        <w:rPr>
                          <w:b/>
                          <w:bCs/>
                        </w:rPr>
                        <w:t xml:space="preserve"> play an important role in advancing Australia’s interests globally</w:t>
                      </w:r>
                      <w:r w:rsidR="0015511F">
                        <w:rPr>
                          <w:b/>
                          <w:bCs/>
                        </w:rPr>
                        <w:t xml:space="preserve">. The Foreign Arrangements Scheme, </w:t>
                      </w:r>
                      <w:r w:rsidR="00D24F06">
                        <w:rPr>
                          <w:b/>
                          <w:bCs/>
                        </w:rPr>
                        <w:t>established by</w:t>
                      </w:r>
                      <w:r>
                        <w:rPr>
                          <w:b/>
                          <w:bCs/>
                        </w:rPr>
                        <w:t xml:space="preserve"> </w:t>
                      </w:r>
                      <w:r w:rsidR="00DF35A9" w:rsidRPr="007A6AB9">
                        <w:rPr>
                          <w:b/>
                          <w:bCs/>
                          <w:i/>
                        </w:rPr>
                        <w:t>Australia’s Foreign Relations (State and Territory Arrangements) Act 2020</w:t>
                      </w:r>
                      <w:r w:rsidR="00D24F06">
                        <w:rPr>
                          <w:b/>
                          <w:bCs/>
                          <w:i/>
                        </w:rPr>
                        <w:t>,</w:t>
                      </w:r>
                      <w:r w:rsidR="00DF35A9" w:rsidRPr="00D74E8D">
                        <w:rPr>
                          <w:b/>
                          <w:bCs/>
                        </w:rPr>
                        <w:t xml:space="preserve"> fosters a systematic and consistent approach to foreign engagement across all levels of Australian government. It ensure</w:t>
                      </w:r>
                      <w:r w:rsidR="0015511F">
                        <w:rPr>
                          <w:b/>
                          <w:bCs/>
                        </w:rPr>
                        <w:t>s</w:t>
                      </w:r>
                      <w:r w:rsidR="00DF35A9" w:rsidRPr="00D74E8D">
                        <w:rPr>
                          <w:b/>
                          <w:bCs/>
                        </w:rPr>
                        <w:t xml:space="preserve"> that arrangements between State or Territory </w:t>
                      </w:r>
                      <w:r w:rsidR="00F54390">
                        <w:rPr>
                          <w:b/>
                          <w:bCs/>
                        </w:rPr>
                        <w:t>entities</w:t>
                      </w:r>
                      <w:r w:rsidR="00F54390" w:rsidRPr="00D74E8D">
                        <w:rPr>
                          <w:b/>
                          <w:bCs/>
                        </w:rPr>
                        <w:t xml:space="preserve"> </w:t>
                      </w:r>
                      <w:r w:rsidR="00DF35A9" w:rsidRPr="00D74E8D">
                        <w:rPr>
                          <w:b/>
                          <w:bCs/>
                        </w:rPr>
                        <w:t>and foreign government</w:t>
                      </w:r>
                      <w:r w:rsidR="00D230DA">
                        <w:rPr>
                          <w:b/>
                          <w:bCs/>
                        </w:rPr>
                        <w:t xml:space="preserve"> </w:t>
                      </w:r>
                      <w:r w:rsidR="00D230DA" w:rsidRPr="003B0798">
                        <w:rPr>
                          <w:b/>
                          <w:bCs/>
                        </w:rPr>
                        <w:t>entities</w:t>
                      </w:r>
                      <w:r w:rsidR="00F54390">
                        <w:rPr>
                          <w:b/>
                          <w:bCs/>
                        </w:rPr>
                        <w:t xml:space="preserve"> </w:t>
                      </w:r>
                      <w:r w:rsidR="00DF35A9" w:rsidRPr="00D74E8D">
                        <w:rPr>
                          <w:b/>
                          <w:bCs/>
                        </w:rPr>
                        <w:t xml:space="preserve">do not adversely affect Australia’s foreign relations and are not inconsistent with Australia’s foreign policy. </w:t>
                      </w:r>
                    </w:p>
                  </w:txbxContent>
                </v:textbox>
                <w10:wrap type="tight" anchorx="margin"/>
              </v:shape>
            </w:pict>
          </mc:Fallback>
        </mc:AlternateContent>
      </w:r>
      <w:r w:rsidR="00DF35A9" w:rsidRPr="00352F6B">
        <w:rPr>
          <w:sz w:val="32"/>
          <w:szCs w:val="32"/>
        </w:rPr>
        <w:t xml:space="preserve">Guidance – </w:t>
      </w:r>
      <w:r w:rsidR="00CE5889" w:rsidRPr="00352F6B">
        <w:rPr>
          <w:sz w:val="32"/>
          <w:szCs w:val="32"/>
        </w:rPr>
        <w:t xml:space="preserve">CONSIDERATIONS </w:t>
      </w:r>
      <w:r>
        <w:rPr>
          <w:sz w:val="32"/>
          <w:szCs w:val="32"/>
        </w:rPr>
        <w:t>FOR</w:t>
      </w:r>
      <w:r w:rsidR="00CE5889" w:rsidRPr="00352F6B">
        <w:rPr>
          <w:sz w:val="32"/>
          <w:szCs w:val="32"/>
        </w:rPr>
        <w:t xml:space="preserve"> </w:t>
      </w:r>
      <w:r w:rsidR="006F55B1">
        <w:rPr>
          <w:sz w:val="32"/>
          <w:szCs w:val="32"/>
        </w:rPr>
        <w:t xml:space="preserve">NEGOTIATING AND </w:t>
      </w:r>
      <w:r w:rsidR="00CE5889" w:rsidRPr="00352F6B">
        <w:rPr>
          <w:sz w:val="32"/>
          <w:szCs w:val="32"/>
        </w:rPr>
        <w:t>ENTERING FOREIGN ARRANGEMENTS</w:t>
      </w:r>
      <w:r w:rsidR="00DF35A9" w:rsidRPr="00352F6B">
        <w:rPr>
          <w:rStyle w:val="EndnoteReference"/>
          <w:sz w:val="32"/>
          <w:szCs w:val="32"/>
        </w:rPr>
        <w:endnoteReference w:id="1"/>
      </w:r>
    </w:p>
    <w:p w14:paraId="033D073B" w14:textId="226E7988" w:rsidR="00DF35A9" w:rsidRPr="00352F6B" w:rsidRDefault="00DF35A9" w:rsidP="00457F07">
      <w:pPr>
        <w:pStyle w:val="IntroPara"/>
        <w:spacing w:before="0" w:after="0"/>
        <w:jc w:val="center"/>
        <w:rPr>
          <w:color w:val="auto"/>
          <w:sz w:val="27"/>
          <w:szCs w:val="27"/>
        </w:rPr>
      </w:pPr>
      <w:r w:rsidRPr="00352F6B">
        <w:rPr>
          <w:color w:val="65C5B4"/>
          <w:sz w:val="27"/>
          <w:szCs w:val="27"/>
        </w:rPr>
        <w:t xml:space="preserve">This Guidance Note should be read together with </w:t>
      </w:r>
      <w:r w:rsidR="00BD6971" w:rsidRPr="00352F6B">
        <w:rPr>
          <w:color w:val="65C5B4"/>
          <w:sz w:val="27"/>
          <w:szCs w:val="27"/>
        </w:rPr>
        <w:t>‘Fact Sheet 6</w:t>
      </w:r>
      <w:r w:rsidR="00487E23" w:rsidRPr="00352F6B">
        <w:rPr>
          <w:color w:val="65C5B4"/>
          <w:sz w:val="27"/>
          <w:szCs w:val="27"/>
        </w:rPr>
        <w:noBreakHyphen/>
      </w:r>
      <w:r w:rsidR="00BD6971" w:rsidRPr="00352F6B">
        <w:rPr>
          <w:color w:val="65C5B4"/>
          <w:sz w:val="27"/>
          <w:szCs w:val="27"/>
        </w:rPr>
        <w:t>–Comparative</w:t>
      </w:r>
      <w:r w:rsidR="00336086" w:rsidRPr="00352F6B">
        <w:rPr>
          <w:color w:val="65C5B4"/>
          <w:sz w:val="27"/>
          <w:szCs w:val="27"/>
        </w:rPr>
        <w:t> </w:t>
      </w:r>
      <w:r w:rsidR="00BD6971" w:rsidRPr="00352F6B">
        <w:rPr>
          <w:color w:val="65C5B4"/>
          <w:sz w:val="27"/>
          <w:szCs w:val="27"/>
        </w:rPr>
        <w:t>Schemes’</w:t>
      </w:r>
      <w:r w:rsidRPr="00352F6B">
        <w:rPr>
          <w:color w:val="65C5B4"/>
          <w:sz w:val="27"/>
          <w:szCs w:val="27"/>
        </w:rPr>
        <w:t xml:space="preserve">. </w:t>
      </w:r>
    </w:p>
    <w:p w14:paraId="78467549" w14:textId="77777777" w:rsidR="00DF35A9" w:rsidRPr="00352F6B" w:rsidRDefault="00BD6971" w:rsidP="003B0798">
      <w:pPr>
        <w:pStyle w:val="BoxHeading"/>
        <w:spacing w:before="120" w:after="0"/>
        <w:rPr>
          <w:sz w:val="28"/>
          <w:szCs w:val="28"/>
        </w:rPr>
      </w:pPr>
      <w:r w:rsidRPr="00352F6B">
        <w:rPr>
          <w:sz w:val="28"/>
          <w:szCs w:val="28"/>
        </w:rPr>
        <w:t>Purpose</w:t>
      </w:r>
    </w:p>
    <w:p w14:paraId="420E607D" w14:textId="3DE30D0C" w:rsidR="00BD6971" w:rsidRPr="00352F6B" w:rsidRDefault="00BD6971" w:rsidP="00BD6971">
      <w:pPr>
        <w:pStyle w:val="BulletSE1"/>
        <w:numPr>
          <w:ilvl w:val="0"/>
          <w:numId w:val="0"/>
        </w:numPr>
        <w:rPr>
          <w:sz w:val="22"/>
          <w:szCs w:val="22"/>
        </w:rPr>
      </w:pPr>
      <w:r w:rsidRPr="00352F6B">
        <w:rPr>
          <w:sz w:val="22"/>
          <w:szCs w:val="22"/>
        </w:rPr>
        <w:t xml:space="preserve">International engagement by </w:t>
      </w:r>
      <w:r w:rsidR="0020644A" w:rsidRPr="00352F6B">
        <w:rPr>
          <w:sz w:val="22"/>
          <w:szCs w:val="22"/>
        </w:rPr>
        <w:t>S</w:t>
      </w:r>
      <w:r w:rsidR="00CC1B96" w:rsidRPr="00352F6B">
        <w:rPr>
          <w:sz w:val="22"/>
          <w:szCs w:val="22"/>
        </w:rPr>
        <w:t xml:space="preserve">tates, </w:t>
      </w:r>
      <w:r w:rsidR="0020644A" w:rsidRPr="00352F6B">
        <w:rPr>
          <w:sz w:val="22"/>
          <w:szCs w:val="22"/>
        </w:rPr>
        <w:t>T</w:t>
      </w:r>
      <w:r w:rsidR="00CC1B96" w:rsidRPr="00352F6B">
        <w:rPr>
          <w:sz w:val="22"/>
          <w:szCs w:val="22"/>
        </w:rPr>
        <w:t xml:space="preserve">erritories, </w:t>
      </w:r>
      <w:proofErr w:type="gramStart"/>
      <w:r w:rsidRPr="00352F6B">
        <w:rPr>
          <w:sz w:val="22"/>
          <w:szCs w:val="22"/>
        </w:rPr>
        <w:t>universities</w:t>
      </w:r>
      <w:proofErr w:type="gramEnd"/>
      <w:r w:rsidR="00CC1B96" w:rsidRPr="00352F6B">
        <w:rPr>
          <w:sz w:val="22"/>
          <w:szCs w:val="22"/>
        </w:rPr>
        <w:t xml:space="preserve"> and local government</w:t>
      </w:r>
      <w:r w:rsidRPr="00352F6B">
        <w:rPr>
          <w:sz w:val="22"/>
          <w:szCs w:val="22"/>
        </w:rPr>
        <w:t xml:space="preserve"> supports Australia’s economic and social interests, promoting innovation and building people-to-people links.</w:t>
      </w:r>
    </w:p>
    <w:p w14:paraId="3C9875B3" w14:textId="136CA704" w:rsidR="00BD6971" w:rsidRPr="00352F6B" w:rsidRDefault="00BD6971" w:rsidP="003B0798">
      <w:pPr>
        <w:spacing w:after="0"/>
      </w:pPr>
      <w:r w:rsidRPr="00352F6B">
        <w:t>Under the Foreign Arrangements Scheme</w:t>
      </w:r>
      <w:r w:rsidR="00A059AF" w:rsidRPr="00352F6B">
        <w:t xml:space="preserve"> (the Scheme)</w:t>
      </w:r>
      <w:r w:rsidRPr="00352F6B">
        <w:t>, the Minister for Foreign Affairs has the power to vary or cancel a foreign arrangement if satisfied the arrangement:</w:t>
      </w:r>
    </w:p>
    <w:p w14:paraId="3FE82925" w14:textId="77777777" w:rsidR="00BD6971" w:rsidRPr="00352F6B" w:rsidRDefault="00BD6971" w:rsidP="003B0798">
      <w:pPr>
        <w:pStyle w:val="ListParagraph"/>
        <w:numPr>
          <w:ilvl w:val="0"/>
          <w:numId w:val="36"/>
        </w:numPr>
        <w:spacing w:before="0" w:after="0"/>
        <w:ind w:left="714" w:hanging="357"/>
        <w:contextualSpacing w:val="0"/>
      </w:pPr>
      <w:r w:rsidRPr="00352F6B">
        <w:t>would adversely affect, or would be likely to adversely affect, Australia’s foreign relations; or</w:t>
      </w:r>
    </w:p>
    <w:p w14:paraId="487F5778" w14:textId="77777777" w:rsidR="00BD6971" w:rsidRPr="00352F6B" w:rsidRDefault="00BD6971" w:rsidP="003B0798">
      <w:pPr>
        <w:pStyle w:val="ListParagraph"/>
        <w:numPr>
          <w:ilvl w:val="0"/>
          <w:numId w:val="36"/>
        </w:numPr>
        <w:spacing w:before="0"/>
        <w:ind w:left="714" w:hanging="357"/>
        <w:contextualSpacing w:val="0"/>
      </w:pPr>
      <w:r w:rsidRPr="00352F6B">
        <w:t>would be, or would be likely to be, inconsistent with Australia’s foreign policy.</w:t>
      </w:r>
    </w:p>
    <w:p w14:paraId="584B6711" w14:textId="4A78608C" w:rsidR="00BD6971" w:rsidRPr="00352F6B" w:rsidRDefault="00BD6971" w:rsidP="00BD6971">
      <w:r w:rsidRPr="00352F6B">
        <w:t xml:space="preserve">This Guidance Note outlines general principles </w:t>
      </w:r>
      <w:r w:rsidR="00DC7193" w:rsidRPr="00352F6B">
        <w:t xml:space="preserve">that </w:t>
      </w:r>
      <w:r w:rsidR="0020644A" w:rsidRPr="00352F6B">
        <w:t>S</w:t>
      </w:r>
      <w:r w:rsidR="00CC1B96" w:rsidRPr="00352F6B">
        <w:t xml:space="preserve">tate and </w:t>
      </w:r>
      <w:r w:rsidR="0020644A" w:rsidRPr="00352F6B">
        <w:t>T</w:t>
      </w:r>
      <w:r w:rsidR="00CC1B96" w:rsidRPr="00352F6B">
        <w:t xml:space="preserve">erritory entities </w:t>
      </w:r>
      <w:r w:rsidRPr="00352F6B">
        <w:t xml:space="preserve">should consider when negotiating or </w:t>
      </w:r>
      <w:proofErr w:type="gramStart"/>
      <w:r w:rsidRPr="00352F6B">
        <w:t>entering into</w:t>
      </w:r>
      <w:proofErr w:type="gramEnd"/>
      <w:r w:rsidRPr="00352F6B">
        <w:t xml:space="preserve"> foreign arrangements to help avoid, and mitigate against, risk to Australia’s foreign policy and foreign relations interests. </w:t>
      </w:r>
    </w:p>
    <w:p w14:paraId="5FBDD429" w14:textId="77777777" w:rsidR="00DF35A9" w:rsidRPr="00352F6B" w:rsidRDefault="00BD6971" w:rsidP="00DF35A9">
      <w:pPr>
        <w:pStyle w:val="BoxHeading"/>
        <w:spacing w:before="120" w:after="0"/>
        <w:rPr>
          <w:sz w:val="28"/>
          <w:szCs w:val="28"/>
        </w:rPr>
      </w:pPr>
      <w:r w:rsidRPr="00352F6B">
        <w:rPr>
          <w:sz w:val="28"/>
          <w:szCs w:val="28"/>
        </w:rPr>
        <w:t>Comparative schemes</w:t>
      </w:r>
    </w:p>
    <w:p w14:paraId="108112B2" w14:textId="77777777" w:rsidR="00BD6971" w:rsidRPr="00352F6B" w:rsidRDefault="00BD6971" w:rsidP="00BD6971">
      <w:r w:rsidRPr="00352F6B">
        <w:t>This Guidance Note should be read alongside guidance issued in the context of comparable Australian</w:t>
      </w:r>
      <w:r w:rsidR="00336086" w:rsidRPr="00352F6B">
        <w:t> </w:t>
      </w:r>
      <w:r w:rsidRPr="00352F6B">
        <w:t xml:space="preserve">Government schemes that ensure international engagement is undertaken consistent with Australia’s national interests. </w:t>
      </w:r>
    </w:p>
    <w:p w14:paraId="42B6FC6C" w14:textId="77777777" w:rsidR="00BD6971" w:rsidRPr="00352F6B" w:rsidRDefault="00BD6971" w:rsidP="00BD6971">
      <w:r w:rsidRPr="00352F6B">
        <w:t xml:space="preserve">For example, the </w:t>
      </w:r>
      <w:r w:rsidRPr="00352F6B">
        <w:rPr>
          <w:i/>
          <w:iCs/>
        </w:rPr>
        <w:t>Guidelines to Counter Foreign Interference in the Australian University Sector</w:t>
      </w:r>
      <w:r w:rsidR="00A1260E" w:rsidRPr="00352F6B">
        <w:t>,</w:t>
      </w:r>
      <w:r w:rsidRPr="00352F6B">
        <w:rPr>
          <w:i/>
          <w:iCs/>
        </w:rPr>
        <w:t xml:space="preserve"> </w:t>
      </w:r>
      <w:r w:rsidRPr="00352F6B">
        <w:t xml:space="preserve">developed by the University Foreign Interference Taskforce (available </w:t>
      </w:r>
      <w:hyperlink r:id="rId11" w:history="1">
        <w:r w:rsidRPr="00352F6B">
          <w:rPr>
            <w:rStyle w:val="Hyperlink"/>
          </w:rPr>
          <w:t>here</w:t>
        </w:r>
      </w:hyperlink>
      <w:r w:rsidRPr="00352F6B">
        <w:t>)</w:t>
      </w:r>
      <w:r w:rsidR="00363153" w:rsidRPr="00352F6B">
        <w:t>,</w:t>
      </w:r>
      <w:r w:rsidRPr="00352F6B">
        <w:rPr>
          <w:i/>
          <w:iCs/>
        </w:rPr>
        <w:t xml:space="preserve"> </w:t>
      </w:r>
      <w:r w:rsidR="00363153" w:rsidRPr="00352F6B">
        <w:t>provide principles-based guidance for universities to mitigate against the risk of foreign interference in the university sector.</w:t>
      </w:r>
      <w:r w:rsidRPr="00352F6B">
        <w:t xml:space="preserve"> </w:t>
      </w:r>
    </w:p>
    <w:p w14:paraId="00FE9933" w14:textId="77777777" w:rsidR="00BD6971" w:rsidRPr="00352F6B" w:rsidRDefault="00BD6971" w:rsidP="00BD6971">
      <w:r w:rsidRPr="00352F6B">
        <w:t>Fact Sheet 6 has more information on comparable schemes.</w:t>
      </w:r>
    </w:p>
    <w:p w14:paraId="4247E476" w14:textId="77777777" w:rsidR="00DF35A9" w:rsidRPr="00352F6B" w:rsidRDefault="00BD6971" w:rsidP="00BD6971">
      <w:pPr>
        <w:pStyle w:val="BoxHeading"/>
        <w:spacing w:before="120" w:after="0"/>
        <w:rPr>
          <w:sz w:val="28"/>
          <w:szCs w:val="28"/>
        </w:rPr>
      </w:pPr>
      <w:r w:rsidRPr="00352F6B">
        <w:rPr>
          <w:sz w:val="28"/>
          <w:szCs w:val="28"/>
        </w:rPr>
        <w:t>Principles</w:t>
      </w:r>
    </w:p>
    <w:p w14:paraId="5B145FC7" w14:textId="77777777" w:rsidR="00703A01" w:rsidRPr="00352F6B" w:rsidRDefault="00CC1B96" w:rsidP="00DF35A9">
      <w:r w:rsidRPr="00352F6B">
        <w:t xml:space="preserve">State and </w:t>
      </w:r>
      <w:r w:rsidR="0020644A" w:rsidRPr="00352F6B">
        <w:t>T</w:t>
      </w:r>
      <w:r w:rsidRPr="00352F6B">
        <w:t xml:space="preserve">erritory entities </w:t>
      </w:r>
      <w:r w:rsidR="00703A01" w:rsidRPr="00352F6B">
        <w:t>should apply the following general principles in negotiating or entering foreign arrangements.</w:t>
      </w:r>
    </w:p>
    <w:p w14:paraId="37AB4397" w14:textId="46C45A55" w:rsidR="00703A01" w:rsidRPr="00352F6B" w:rsidRDefault="00703A01" w:rsidP="00A636E0">
      <w:pPr>
        <w:spacing w:after="0"/>
        <w:rPr>
          <w:b/>
          <w:bCs/>
        </w:rPr>
      </w:pPr>
      <w:r w:rsidRPr="00352F6B">
        <w:rPr>
          <w:b/>
          <w:bCs/>
        </w:rPr>
        <w:t>Due diligence</w:t>
      </w:r>
    </w:p>
    <w:p w14:paraId="404CB9B8" w14:textId="7864A54A" w:rsidR="00703A01" w:rsidRPr="00352F6B" w:rsidRDefault="00CC1B96" w:rsidP="003B0798">
      <w:pPr>
        <w:spacing w:before="0"/>
      </w:pPr>
      <w:r w:rsidRPr="00352F6B">
        <w:t>A</w:t>
      </w:r>
      <w:r w:rsidR="00703A01" w:rsidRPr="00352F6B">
        <w:t xml:space="preserve">ll </w:t>
      </w:r>
      <w:r w:rsidR="0020644A" w:rsidRPr="00352F6B">
        <w:t>S</w:t>
      </w:r>
      <w:r w:rsidRPr="00352F6B">
        <w:t xml:space="preserve">tate and </w:t>
      </w:r>
      <w:r w:rsidR="0020644A" w:rsidRPr="00352F6B">
        <w:t>T</w:t>
      </w:r>
      <w:r w:rsidRPr="00352F6B">
        <w:t xml:space="preserve">erritory </w:t>
      </w:r>
      <w:r w:rsidR="00703A01" w:rsidRPr="00352F6B">
        <w:t xml:space="preserve">entities subject to the Scheme are expected to know their foreign partners. </w:t>
      </w:r>
    </w:p>
    <w:p w14:paraId="5A7D94B8" w14:textId="7395FF59" w:rsidR="00703A01" w:rsidRPr="00352F6B" w:rsidRDefault="00CC1B96" w:rsidP="00703A01">
      <w:r w:rsidRPr="00352F6B">
        <w:t xml:space="preserve">State and </w:t>
      </w:r>
      <w:r w:rsidR="0020644A" w:rsidRPr="00352F6B">
        <w:t>T</w:t>
      </w:r>
      <w:r w:rsidRPr="00352F6B">
        <w:t xml:space="preserve">erritory entities </w:t>
      </w:r>
      <w:r w:rsidR="00703A01" w:rsidRPr="00352F6B">
        <w:t xml:space="preserve">should undertake due diligence to understand foreign entities </w:t>
      </w:r>
      <w:r w:rsidR="00703A01" w:rsidRPr="00352F6B">
        <w:rPr>
          <w:i/>
          <w:iCs/>
        </w:rPr>
        <w:t>prior to</w:t>
      </w:r>
      <w:r w:rsidR="00703A01" w:rsidRPr="00352F6B">
        <w:t xml:space="preserve"> </w:t>
      </w:r>
      <w:r w:rsidR="00336086" w:rsidRPr="00352F6B">
        <w:t xml:space="preserve">negotiating and </w:t>
      </w:r>
      <w:r w:rsidR="00703A01" w:rsidRPr="00352F6B">
        <w:t xml:space="preserve">entering </w:t>
      </w:r>
      <w:r w:rsidR="00174619" w:rsidRPr="00352F6B">
        <w:t xml:space="preserve">foreign </w:t>
      </w:r>
      <w:r w:rsidR="00703A01" w:rsidRPr="00352F6B">
        <w:t>arrangements</w:t>
      </w:r>
      <w:r w:rsidR="00174619" w:rsidRPr="00352F6B">
        <w:t xml:space="preserve"> with those entities</w:t>
      </w:r>
      <w:r w:rsidR="00703A01" w:rsidRPr="00352F6B">
        <w:t>. This includes understanding the nature of the foreign entity and its role within a foreign government.</w:t>
      </w:r>
      <w:r w:rsidR="0077550C" w:rsidRPr="00352F6B">
        <w:t xml:space="preserve"> </w:t>
      </w:r>
      <w:r w:rsidR="002132BA" w:rsidRPr="00352F6B">
        <w:t>For</w:t>
      </w:r>
      <w:r w:rsidR="0077550C" w:rsidRPr="00352F6B">
        <w:t xml:space="preserve"> foreign universities, it is important to determine if they have </w:t>
      </w:r>
      <w:r w:rsidR="00AD4310" w:rsidRPr="00352F6B">
        <w:t>'</w:t>
      </w:r>
      <w:r w:rsidR="0077550C" w:rsidRPr="00352F6B">
        <w:t>institutional autonomy</w:t>
      </w:r>
      <w:r w:rsidR="00AD4310" w:rsidRPr="00352F6B">
        <w:t>’</w:t>
      </w:r>
      <w:r w:rsidR="0077550C" w:rsidRPr="00352F6B">
        <w:t xml:space="preserve"> from </w:t>
      </w:r>
      <w:r w:rsidR="002132BA" w:rsidRPr="00352F6B">
        <w:t>a foreign government</w:t>
      </w:r>
      <w:r w:rsidR="00D230DA" w:rsidRPr="00352F6B">
        <w:t xml:space="preserve"> and therefore fall within scope of the Scheme</w:t>
      </w:r>
      <w:r w:rsidR="0077550C" w:rsidRPr="00352F6B">
        <w:t xml:space="preserve">. </w:t>
      </w:r>
    </w:p>
    <w:p w14:paraId="1EBF3E9F" w14:textId="35923C7D" w:rsidR="00703A01" w:rsidRPr="00352F6B" w:rsidRDefault="00703A01" w:rsidP="00A636E0">
      <w:pPr>
        <w:spacing w:before="0" w:after="0"/>
        <w:rPr>
          <w:b/>
          <w:bCs/>
        </w:rPr>
      </w:pPr>
      <w:r w:rsidRPr="00352F6B">
        <w:rPr>
          <w:b/>
          <w:bCs/>
        </w:rPr>
        <w:t xml:space="preserve">Language </w:t>
      </w:r>
    </w:p>
    <w:p w14:paraId="29D22331" w14:textId="48261160" w:rsidR="00703A01" w:rsidRPr="00352F6B" w:rsidRDefault="00703A01" w:rsidP="003B0798">
      <w:pPr>
        <w:spacing w:before="0"/>
      </w:pPr>
      <w:r w:rsidRPr="00352F6B">
        <w:t>It is important that foreign arrangements are negotiated carefully, and</w:t>
      </w:r>
      <w:r w:rsidR="0020644A" w:rsidRPr="00352F6B">
        <w:t xml:space="preserve"> that</w:t>
      </w:r>
      <w:r w:rsidRPr="00352F6B">
        <w:t xml:space="preserve"> the commitments and</w:t>
      </w:r>
      <w:r w:rsidR="006C4386">
        <w:t xml:space="preserve"> </w:t>
      </w:r>
      <w:r w:rsidR="002639A3">
        <w:br/>
      </w:r>
      <w:r w:rsidR="002639A3">
        <w:br/>
      </w:r>
      <w:r w:rsidR="002639A3">
        <w:lastRenderedPageBreak/>
        <w:br/>
      </w:r>
      <w:r w:rsidRPr="00352F6B">
        <w:t>obligations in foreign arrangements are clear, able to be easily understood, and not open to different interpretation</w:t>
      </w:r>
      <w:r w:rsidR="00E12C23" w:rsidRPr="00352F6B">
        <w:t>. It should</w:t>
      </w:r>
      <w:r w:rsidR="00CC384E" w:rsidRPr="00352F6B">
        <w:t xml:space="preserve"> be clear whether the arrangement intend</w:t>
      </w:r>
      <w:r w:rsidR="00E12C23" w:rsidRPr="00352F6B">
        <w:t>s</w:t>
      </w:r>
      <w:r w:rsidR="00CC384E" w:rsidRPr="00352F6B">
        <w:t xml:space="preserve"> to create legally binding obligations</w:t>
      </w:r>
      <w:r w:rsidR="00572CB2" w:rsidRPr="00352F6B">
        <w:t>, and under which jurisdiction</w:t>
      </w:r>
      <w:r w:rsidR="00CC384E" w:rsidRPr="00352F6B">
        <w:t xml:space="preserve">. </w:t>
      </w:r>
    </w:p>
    <w:p w14:paraId="7D9CE8F0" w14:textId="18CF9222" w:rsidR="00487E23" w:rsidRPr="00352F6B" w:rsidRDefault="00703A01" w:rsidP="00703A01">
      <w:r w:rsidRPr="00352F6B">
        <w:t xml:space="preserve">Where foreign arrangements are negotiated in </w:t>
      </w:r>
      <w:r w:rsidR="00DF01EA" w:rsidRPr="00352F6B">
        <w:t xml:space="preserve">multiple </w:t>
      </w:r>
      <w:r w:rsidRPr="00352F6B">
        <w:t xml:space="preserve">languages, each language version of the arrangement should be specified in the text. Generally, the text of the foreign arrangement should make clear that </w:t>
      </w:r>
      <w:r w:rsidR="00DF01EA" w:rsidRPr="00352F6B">
        <w:t>all</w:t>
      </w:r>
      <w:r w:rsidRPr="00352F6B">
        <w:t xml:space="preserve"> language versions have the same effect, but it is also acceptable - in an Australian context - that the English language version prevails. </w:t>
      </w:r>
    </w:p>
    <w:p w14:paraId="07A12CBD" w14:textId="77777777" w:rsidR="00703A01" w:rsidRPr="00352F6B" w:rsidRDefault="00DF01EA" w:rsidP="00703A01">
      <w:r w:rsidRPr="00352F6B">
        <w:t>It is important to ensure that each language version faithfully corresponds with others, including by seeking comparative translations where necessary</w:t>
      </w:r>
      <w:r w:rsidR="00487E23" w:rsidRPr="00352F6B">
        <w:t xml:space="preserve">. This </w:t>
      </w:r>
      <w:r w:rsidRPr="00352F6B">
        <w:t>ensure</w:t>
      </w:r>
      <w:r w:rsidR="00487E23" w:rsidRPr="00352F6B">
        <w:t>s</w:t>
      </w:r>
      <w:r w:rsidRPr="00352F6B">
        <w:t xml:space="preserve"> all parties have the same understanding of their commitments and </w:t>
      </w:r>
      <w:proofErr w:type="gramStart"/>
      <w:r w:rsidRPr="00352F6B">
        <w:t>obligations, and</w:t>
      </w:r>
      <w:proofErr w:type="gramEnd"/>
      <w:r w:rsidRPr="00352F6B">
        <w:t xml:space="preserve"> are clear about the relationship they are creating.</w:t>
      </w:r>
    </w:p>
    <w:p w14:paraId="4D3DF15A" w14:textId="77777777" w:rsidR="00703A01" w:rsidRPr="00352F6B" w:rsidRDefault="00703A01" w:rsidP="00A636E0">
      <w:pPr>
        <w:spacing w:after="0"/>
        <w:rPr>
          <w:b/>
          <w:bCs/>
        </w:rPr>
      </w:pPr>
      <w:r w:rsidRPr="00352F6B">
        <w:rPr>
          <w:b/>
          <w:bCs/>
        </w:rPr>
        <w:t>Foreign laws</w:t>
      </w:r>
    </w:p>
    <w:p w14:paraId="5C60E75B" w14:textId="77777777" w:rsidR="00703A01" w:rsidRPr="00352F6B" w:rsidRDefault="00C814D1" w:rsidP="003B0798">
      <w:pPr>
        <w:spacing w:before="0"/>
      </w:pPr>
      <w:r w:rsidRPr="00352F6B">
        <w:t xml:space="preserve">State and </w:t>
      </w:r>
      <w:r w:rsidR="0020644A" w:rsidRPr="00352F6B">
        <w:t>T</w:t>
      </w:r>
      <w:r w:rsidRPr="00352F6B">
        <w:t xml:space="preserve">erritory entities </w:t>
      </w:r>
      <w:r w:rsidR="00703A01" w:rsidRPr="00352F6B">
        <w:t>should very carefully consider</w:t>
      </w:r>
      <w:r w:rsidR="00A3699F" w:rsidRPr="00352F6B">
        <w:t xml:space="preserve"> </w:t>
      </w:r>
      <w:r w:rsidR="00703A01" w:rsidRPr="00352F6B">
        <w:t xml:space="preserve">provisions in a foreign arrangement that incorporate by reference or otherwise assert the application of a foreign law, particularly where the subject of the arrangement is activity occurring in Australia. Depending on the specific foreign law, subject </w:t>
      </w:r>
      <w:proofErr w:type="gramStart"/>
      <w:r w:rsidR="00703A01" w:rsidRPr="00352F6B">
        <w:t>matter</w:t>
      </w:r>
      <w:proofErr w:type="gramEnd"/>
      <w:r w:rsidR="00703A01" w:rsidRPr="00352F6B">
        <w:t xml:space="preserve"> and context, this could give </w:t>
      </w:r>
      <w:r w:rsidR="00440435" w:rsidRPr="00352F6B">
        <w:t>rise</w:t>
      </w:r>
      <w:r w:rsidR="00703A01" w:rsidRPr="00352F6B">
        <w:t xml:space="preserve"> to foreign policy or foreign relations risk. </w:t>
      </w:r>
    </w:p>
    <w:p w14:paraId="0C9869D9" w14:textId="77777777" w:rsidR="00703A01" w:rsidRPr="00352F6B" w:rsidRDefault="00703A01" w:rsidP="00A636E0">
      <w:pPr>
        <w:spacing w:after="0"/>
        <w:rPr>
          <w:b/>
          <w:bCs/>
        </w:rPr>
      </w:pPr>
      <w:r w:rsidRPr="00352F6B">
        <w:rPr>
          <w:b/>
          <w:bCs/>
        </w:rPr>
        <w:t>Governance</w:t>
      </w:r>
    </w:p>
    <w:p w14:paraId="4E2170DD" w14:textId="77777777" w:rsidR="00703A01" w:rsidRPr="00352F6B" w:rsidRDefault="00703A01" w:rsidP="003B0798">
      <w:pPr>
        <w:spacing w:before="0"/>
      </w:pPr>
      <w:r w:rsidRPr="00352F6B">
        <w:t xml:space="preserve">Foreign arrangements should provide for clear and transparent governance, including specifying the roles and responsibilities of parties with respect to decision-making. </w:t>
      </w:r>
      <w:r w:rsidR="00C814D1" w:rsidRPr="00352F6B">
        <w:t xml:space="preserve">State and </w:t>
      </w:r>
      <w:r w:rsidR="0020644A" w:rsidRPr="00352F6B">
        <w:t>T</w:t>
      </w:r>
      <w:r w:rsidR="00C814D1" w:rsidRPr="00352F6B">
        <w:t xml:space="preserve">erritory entities </w:t>
      </w:r>
      <w:r w:rsidRPr="00352F6B">
        <w:t xml:space="preserve">should be wary of ‘unbalanced’ governance arrangements; for example, provisions that establish boards of management that give a majority membership or right of veto in decision-making to the foreign entity. Ceding control of decision-making to a foreign entity has the potential to create foreign policy or foreign relations risk.    </w:t>
      </w:r>
    </w:p>
    <w:p w14:paraId="73F3AF9D" w14:textId="64E47EC1" w:rsidR="00DC407E" w:rsidRPr="00A636E0" w:rsidRDefault="00DC407E" w:rsidP="00A636E0">
      <w:pPr>
        <w:spacing w:after="0"/>
        <w:rPr>
          <w:b/>
          <w:bCs/>
        </w:rPr>
      </w:pPr>
      <w:r w:rsidRPr="00A937D8">
        <w:rPr>
          <w:b/>
          <w:bCs/>
        </w:rPr>
        <w:t xml:space="preserve">Dispute </w:t>
      </w:r>
      <w:r w:rsidR="00DC7193" w:rsidRPr="00A937D8">
        <w:rPr>
          <w:b/>
          <w:bCs/>
        </w:rPr>
        <w:t>r</w:t>
      </w:r>
      <w:r w:rsidRPr="00A937D8">
        <w:rPr>
          <w:b/>
          <w:bCs/>
        </w:rPr>
        <w:t>esolution</w:t>
      </w:r>
    </w:p>
    <w:p w14:paraId="66A5185D" w14:textId="55D23749" w:rsidR="00DC407E" w:rsidRPr="00352F6B" w:rsidRDefault="00E12C23" w:rsidP="003B0798">
      <w:pPr>
        <w:spacing w:before="0"/>
      </w:pPr>
      <w:r w:rsidRPr="00352F6B">
        <w:t xml:space="preserve">Dispute resolution provisions should not </w:t>
      </w:r>
      <w:r w:rsidR="00FA3E06" w:rsidRPr="00352F6B">
        <w:t>provide</w:t>
      </w:r>
      <w:r w:rsidRPr="00352F6B">
        <w:t xml:space="preserve"> </w:t>
      </w:r>
      <w:r w:rsidR="00352F6B" w:rsidRPr="003B0798">
        <w:t xml:space="preserve">undue </w:t>
      </w:r>
      <w:r w:rsidRPr="00352F6B">
        <w:t xml:space="preserve">control over disputes to </w:t>
      </w:r>
      <w:r w:rsidR="00352F6B" w:rsidRPr="003B0798">
        <w:t>the</w:t>
      </w:r>
      <w:r w:rsidRPr="00352F6B">
        <w:t xml:space="preserve"> foreign </w:t>
      </w:r>
      <w:r w:rsidR="00352F6B" w:rsidRPr="003B0798">
        <w:t>party</w:t>
      </w:r>
      <w:r w:rsidRPr="00352F6B">
        <w:t>. If there is</w:t>
      </w:r>
      <w:r w:rsidR="00DC407E" w:rsidRPr="00352F6B">
        <w:t xml:space="preserve"> external dispute resolution</w:t>
      </w:r>
      <w:r w:rsidRPr="00352F6B">
        <w:t>, it should be</w:t>
      </w:r>
      <w:r w:rsidR="00DC407E" w:rsidRPr="00352F6B">
        <w:t xml:space="preserve"> provided by a neutral third party</w:t>
      </w:r>
      <w:r w:rsidR="00572CB2" w:rsidRPr="00352F6B">
        <w:t xml:space="preserve">, such as a specified court or tribunal </w:t>
      </w:r>
      <w:r w:rsidR="00352F6B" w:rsidRPr="003B0798">
        <w:t>for</w:t>
      </w:r>
      <w:r w:rsidR="00572CB2" w:rsidRPr="00352F6B">
        <w:t xml:space="preserve"> legally binding</w:t>
      </w:r>
      <w:r w:rsidR="00352F6B" w:rsidRPr="00352F6B">
        <w:t xml:space="preserve"> arrangements</w:t>
      </w:r>
      <w:r w:rsidR="00DC407E" w:rsidRPr="00352F6B">
        <w:t xml:space="preserve">. </w:t>
      </w:r>
    </w:p>
    <w:p w14:paraId="66A48B37" w14:textId="06781822" w:rsidR="00703A01" w:rsidRPr="00352F6B" w:rsidRDefault="00703A01" w:rsidP="00A636E0">
      <w:pPr>
        <w:spacing w:after="0"/>
        <w:rPr>
          <w:b/>
          <w:bCs/>
        </w:rPr>
      </w:pPr>
      <w:r w:rsidRPr="00352F6B">
        <w:rPr>
          <w:b/>
          <w:bCs/>
        </w:rPr>
        <w:t>Termination</w:t>
      </w:r>
      <w:r w:rsidR="002E1DEA">
        <w:rPr>
          <w:b/>
          <w:bCs/>
        </w:rPr>
        <w:t>/variation</w:t>
      </w:r>
      <w:r w:rsidRPr="00352F6B">
        <w:rPr>
          <w:b/>
          <w:bCs/>
        </w:rPr>
        <w:t xml:space="preserve"> provisions</w:t>
      </w:r>
    </w:p>
    <w:p w14:paraId="517D983E" w14:textId="3E340540" w:rsidR="00703A01" w:rsidRPr="00352F6B" w:rsidRDefault="00703A01" w:rsidP="003B0798">
      <w:pPr>
        <w:spacing w:before="0"/>
      </w:pPr>
      <w:proofErr w:type="gramStart"/>
      <w:r w:rsidRPr="00352F6B">
        <w:t>Generally speaking, foreign</w:t>
      </w:r>
      <w:proofErr w:type="gramEnd"/>
      <w:r w:rsidRPr="00352F6B">
        <w:t xml:space="preserve"> arrangements should include termination </w:t>
      </w:r>
      <w:r w:rsidR="002E1DEA">
        <w:t xml:space="preserve">and variation </w:t>
      </w:r>
      <w:r w:rsidRPr="00352F6B">
        <w:t xml:space="preserve">provisions that allow for the Australian </w:t>
      </w:r>
      <w:r w:rsidR="00C814D1" w:rsidRPr="00352F6B">
        <w:t xml:space="preserve">entity </w:t>
      </w:r>
      <w:r w:rsidRPr="00352F6B">
        <w:t>to terminate a foreign arrangement by written notice to the foreign entity</w:t>
      </w:r>
      <w:r w:rsidR="002E1DEA">
        <w:t xml:space="preserve"> or vary by mutual consent</w:t>
      </w:r>
      <w:r w:rsidRPr="00352F6B">
        <w:t xml:space="preserve">. This provides the Australian entity with the flexibility to manage the arrangement, including in the event of a shift in Australia’s foreign policy or foreign relations interests.  </w:t>
      </w:r>
    </w:p>
    <w:p w14:paraId="5A466581" w14:textId="7C9FD4B7" w:rsidR="00703A01" w:rsidRPr="00352F6B" w:rsidRDefault="00703A01" w:rsidP="00703A01">
      <w:pPr>
        <w:rPr>
          <w:b/>
          <w:bCs/>
        </w:rPr>
      </w:pPr>
      <w:r w:rsidRPr="00352F6B">
        <w:t>A provision which allows for termination if required under Australian law,</w:t>
      </w:r>
      <w:r w:rsidR="00DF01EA" w:rsidRPr="00352F6B">
        <w:t xml:space="preserve"> without penalty,</w:t>
      </w:r>
      <w:r w:rsidRPr="00352F6B">
        <w:t xml:space="preserve"> may also assist to manage the </w:t>
      </w:r>
      <w:r w:rsidR="00D230DA" w:rsidRPr="00352F6B">
        <w:t xml:space="preserve">financial </w:t>
      </w:r>
      <w:r w:rsidRPr="00352F6B">
        <w:t xml:space="preserve">consequences of any declaration of the Minister for Foreign Affairs under the Scheme.  </w:t>
      </w:r>
    </w:p>
    <w:p w14:paraId="59B0DDAE" w14:textId="77777777" w:rsidR="00A3699F" w:rsidRPr="00352F6B" w:rsidRDefault="00A3699F" w:rsidP="00A636E0">
      <w:pPr>
        <w:spacing w:after="0"/>
        <w:rPr>
          <w:b/>
          <w:bCs/>
        </w:rPr>
      </w:pPr>
      <w:r w:rsidRPr="00352F6B">
        <w:rPr>
          <w:b/>
          <w:bCs/>
        </w:rPr>
        <w:t xml:space="preserve">Academic freedom  </w:t>
      </w:r>
    </w:p>
    <w:p w14:paraId="7135318D" w14:textId="77777777" w:rsidR="00A3699F" w:rsidRPr="00352F6B" w:rsidRDefault="00A3699F" w:rsidP="003B0798">
      <w:pPr>
        <w:spacing w:before="0"/>
      </w:pPr>
      <w:r w:rsidRPr="00352F6B">
        <w:t xml:space="preserve">The Australian Government is committed to protecting academic freedom and freedom of speech in Australian education. This ensures that Australia’s educational institutions remain critical institutions where ideas are debated and challenged. </w:t>
      </w:r>
    </w:p>
    <w:p w14:paraId="20BAEA28" w14:textId="77777777" w:rsidR="00A3699F" w:rsidRPr="00352F6B" w:rsidRDefault="00A3699F" w:rsidP="00A3699F">
      <w:r w:rsidRPr="00352F6B">
        <w:t xml:space="preserve">Provisions in foreign arrangements that do not compromise academic freedom and freedom of speech and that ensure Australian entities retain control over the delivery of educational courses, including curriculum and course content, help to mitigate foreign policy and foreign relations risk. </w:t>
      </w:r>
    </w:p>
    <w:p w14:paraId="506041FB" w14:textId="459F29A9" w:rsidR="002E1DEA" w:rsidRDefault="002E1DEA" w:rsidP="00A636E0">
      <w:pPr>
        <w:spacing w:after="0"/>
        <w:rPr>
          <w:b/>
          <w:bCs/>
        </w:rPr>
      </w:pPr>
      <w:r>
        <w:rPr>
          <w:b/>
          <w:bCs/>
        </w:rPr>
        <w:t xml:space="preserve">Foreign policy </w:t>
      </w:r>
      <w:r w:rsidR="006C4386">
        <w:rPr>
          <w:b/>
          <w:bCs/>
        </w:rPr>
        <w:t xml:space="preserve">and foreign relations </w:t>
      </w:r>
      <w:r>
        <w:rPr>
          <w:b/>
          <w:bCs/>
        </w:rPr>
        <w:t>risk</w:t>
      </w:r>
    </w:p>
    <w:p w14:paraId="6D60722E" w14:textId="01B12B4B" w:rsidR="006C4386" w:rsidRDefault="006C4386" w:rsidP="00A636E0">
      <w:pPr>
        <w:spacing w:before="0"/>
        <w:rPr>
          <w:bCs/>
        </w:rPr>
      </w:pPr>
      <w:r>
        <w:rPr>
          <w:bCs/>
        </w:rPr>
        <w:t>Overall, e</w:t>
      </w:r>
      <w:r w:rsidR="002E1DEA" w:rsidRPr="005C425F">
        <w:rPr>
          <w:bCs/>
        </w:rPr>
        <w:t xml:space="preserve">ntities should be cognisant of the international environment in which they operate and </w:t>
      </w:r>
      <w:r w:rsidR="002639A3">
        <w:rPr>
          <w:bCs/>
        </w:rPr>
        <w:t xml:space="preserve">potential for foreign policy </w:t>
      </w:r>
      <w:r w:rsidR="00E90D39">
        <w:rPr>
          <w:bCs/>
        </w:rPr>
        <w:t xml:space="preserve">or foreign relations </w:t>
      </w:r>
      <w:r w:rsidR="002639A3">
        <w:rPr>
          <w:bCs/>
        </w:rPr>
        <w:t xml:space="preserve">risk. </w:t>
      </w:r>
      <w:r w:rsidR="00E90D39">
        <w:rPr>
          <w:bCs/>
        </w:rPr>
        <w:t>A</w:t>
      </w:r>
      <w:r w:rsidR="002E1DEA" w:rsidRPr="005C425F">
        <w:rPr>
          <w:bCs/>
        </w:rPr>
        <w:t xml:space="preserve">void language that </w:t>
      </w:r>
      <w:r w:rsidR="002639A3">
        <w:rPr>
          <w:bCs/>
        </w:rPr>
        <w:t xml:space="preserve">endorses or </w:t>
      </w:r>
      <w:r w:rsidR="002E1DEA" w:rsidRPr="005C425F">
        <w:rPr>
          <w:bCs/>
        </w:rPr>
        <w:t xml:space="preserve">could be </w:t>
      </w:r>
      <w:r w:rsidR="002639A3">
        <w:rPr>
          <w:bCs/>
        </w:rPr>
        <w:t>perceived</w:t>
      </w:r>
      <w:r w:rsidR="002E1DEA" w:rsidRPr="005C425F">
        <w:rPr>
          <w:bCs/>
        </w:rPr>
        <w:t xml:space="preserve"> to endorse</w:t>
      </w:r>
      <w:r w:rsidR="002639A3">
        <w:rPr>
          <w:bCs/>
        </w:rPr>
        <w:t xml:space="preserve"> (</w:t>
      </w:r>
      <w:r w:rsidR="002E1DEA" w:rsidRPr="005C425F">
        <w:rPr>
          <w:bCs/>
        </w:rPr>
        <w:t>directly or indirectly</w:t>
      </w:r>
      <w:r w:rsidR="002639A3">
        <w:rPr>
          <w:bCs/>
        </w:rPr>
        <w:t>)</w:t>
      </w:r>
      <w:r w:rsidR="002E1DEA" w:rsidRPr="005C425F">
        <w:rPr>
          <w:bCs/>
        </w:rPr>
        <w:t xml:space="preserve"> policies </w:t>
      </w:r>
      <w:r w:rsidR="002639A3">
        <w:rPr>
          <w:bCs/>
        </w:rPr>
        <w:t xml:space="preserve">of foreign </w:t>
      </w:r>
      <w:r w:rsidR="00E90D39">
        <w:rPr>
          <w:bCs/>
        </w:rPr>
        <w:t>governments</w:t>
      </w:r>
      <w:r w:rsidR="002639A3">
        <w:rPr>
          <w:bCs/>
        </w:rPr>
        <w:t xml:space="preserve"> </w:t>
      </w:r>
      <w:r w:rsidR="002E1DEA" w:rsidRPr="005C425F">
        <w:rPr>
          <w:bCs/>
        </w:rPr>
        <w:t xml:space="preserve">to which Australia does not subscribe. </w:t>
      </w:r>
    </w:p>
    <w:p w14:paraId="014B656F" w14:textId="34F59A31" w:rsidR="00DF35A9" w:rsidRPr="00AD6586" w:rsidRDefault="002E1DEA" w:rsidP="00390D87">
      <w:pPr>
        <w:spacing w:after="0"/>
        <w:rPr>
          <w:rFonts w:cs="MuseoSans-500"/>
          <w:color w:val="auto"/>
          <w:u w:val="single" w:color="0070C0"/>
        </w:rPr>
      </w:pPr>
      <w:r w:rsidRPr="005C425F">
        <w:rPr>
          <w:bCs/>
        </w:rPr>
        <w:t xml:space="preserve">If in doubt, </w:t>
      </w:r>
      <w:r w:rsidR="00E90D39">
        <w:rPr>
          <w:bCs/>
        </w:rPr>
        <w:t>seek advice from</w:t>
      </w:r>
      <w:r w:rsidR="00FE3B93">
        <w:rPr>
          <w:bCs/>
        </w:rPr>
        <w:t xml:space="preserve"> the</w:t>
      </w:r>
      <w:r w:rsidR="002639A3">
        <w:rPr>
          <w:bCs/>
        </w:rPr>
        <w:t xml:space="preserve"> </w:t>
      </w:r>
      <w:r w:rsidRPr="005C425F">
        <w:rPr>
          <w:bCs/>
        </w:rPr>
        <w:t>Department of Foreign Affairs and Trade</w:t>
      </w:r>
      <w:r w:rsidR="002639A3">
        <w:rPr>
          <w:bCs/>
        </w:rPr>
        <w:t>:</w:t>
      </w:r>
      <w:r>
        <w:rPr>
          <w:bCs/>
        </w:rPr>
        <w:t xml:space="preserve"> </w:t>
      </w:r>
      <w:hyperlink r:id="rId12" w:history="1">
        <w:r w:rsidRPr="00352F6B">
          <w:t>foreignarrangements@dfat.gov.au</w:t>
        </w:r>
      </w:hyperlink>
      <w:r w:rsidR="006C4386">
        <w:t xml:space="preserve"> </w:t>
      </w:r>
      <w:r w:rsidRPr="005C425F">
        <w:rPr>
          <w:bCs/>
        </w:rPr>
        <w:t>.</w:t>
      </w:r>
    </w:p>
    <w:sectPr w:rsidR="00DF35A9" w:rsidRPr="00AD6586" w:rsidSect="00CB5703">
      <w:headerReference w:type="default" r:id="rId13"/>
      <w:footerReference w:type="default" r:id="rId14"/>
      <w:headerReference w:type="first" r:id="rId15"/>
      <w:footerReference w:type="first" r:id="rId16"/>
      <w:pgSz w:w="11906" w:h="16838" w:code="9"/>
      <w:pgMar w:top="1021" w:right="1134" w:bottom="567"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D7B6" w14:textId="77777777" w:rsidR="00D1280A" w:rsidRDefault="00D1280A" w:rsidP="00D37B04">
      <w:r>
        <w:separator/>
      </w:r>
    </w:p>
  </w:endnote>
  <w:endnote w:type="continuationSeparator" w:id="0">
    <w:p w14:paraId="3EB48D3A" w14:textId="77777777" w:rsidR="00D1280A" w:rsidRDefault="00D1280A" w:rsidP="00D37B04">
      <w:r>
        <w:continuationSeparator/>
      </w:r>
    </w:p>
  </w:endnote>
  <w:endnote w:id="1">
    <w:p w14:paraId="204229A0" w14:textId="5279D992" w:rsidR="00DF35A9" w:rsidRDefault="00DF35A9" w:rsidP="003B0798">
      <w:pPr>
        <w:pStyle w:val="EndnoteText"/>
        <w:spacing w:line="192" w:lineRule="auto"/>
        <w:rPr>
          <w:lang w:val="en-AU"/>
        </w:rPr>
      </w:pPr>
      <w:r>
        <w:rPr>
          <w:rStyle w:val="EndnoteReference"/>
        </w:rPr>
        <w:endnoteRef/>
      </w:r>
      <w:r>
        <w:t xml:space="preserve"> </w:t>
      </w:r>
      <w:r>
        <w:rPr>
          <w:sz w:val="17"/>
          <w:szCs w:val="17"/>
        </w:rPr>
        <w:t xml:space="preserve">This guidance sets out some of the requirements of the </w:t>
      </w:r>
      <w:r w:rsidRPr="007A6AB9">
        <w:rPr>
          <w:i/>
          <w:sz w:val="17"/>
          <w:szCs w:val="17"/>
        </w:rPr>
        <w:t xml:space="preserve">Australia’s Foreign Relations (State and Territory Arrangements) Act 2020. </w:t>
      </w:r>
      <w:r>
        <w:rPr>
          <w:sz w:val="17"/>
          <w:szCs w:val="17"/>
        </w:rPr>
        <w:t>It is not comprehensive and should not be relied on as a definitive interpretation of the Act. It is also not intended as legal advice. Readers should rely on the substantive provisions of the Act and any applicable rules in assessing their</w:t>
      </w:r>
      <w:r w:rsidR="00923604">
        <w:rPr>
          <w:sz w:val="17"/>
          <w:szCs w:val="17"/>
        </w:rPr>
        <w:br/>
      </w:r>
      <w:r>
        <w:rPr>
          <w:sz w:val="17"/>
          <w:szCs w:val="17"/>
        </w:rPr>
        <w:t xml:space="preserve"> obligations and seek independent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A417" w14:textId="77777777" w:rsidR="00C35791" w:rsidRDefault="00C35791">
    <w:pPr>
      <w:pStyle w:val="Footer"/>
    </w:pPr>
    <w:r w:rsidRPr="00FC322F">
      <w:rPr>
        <w:b/>
        <w:noProof/>
        <w:lang w:val="en-AU" w:eastAsia="en-AU"/>
      </w:rPr>
      <w:drawing>
        <wp:inline distT="0" distB="0" distL="0" distR="0" wp14:anchorId="2BA984CC" wp14:editId="21584C2B">
          <wp:extent cx="108000" cy="87480"/>
          <wp:effectExtent l="0" t="0" r="6350" b="8255"/>
          <wp:docPr id="7" name="Picture 7"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30F6" w14:textId="77777777" w:rsidR="00C35791" w:rsidRPr="00FC322F" w:rsidRDefault="00C35791" w:rsidP="00C35791">
    <w:pPr>
      <w:pStyle w:val="Footer"/>
      <w:rPr>
        <w:b/>
      </w:rPr>
    </w:pPr>
    <w:r w:rsidRPr="00FC322F">
      <w:rPr>
        <w:b/>
        <w:noProof/>
        <w:lang w:val="en-AU" w:eastAsia="en-AU"/>
      </w:rPr>
      <w:drawing>
        <wp:inline distT="0" distB="0" distL="0" distR="0" wp14:anchorId="4B42AE33" wp14:editId="5821B5A4">
          <wp:extent cx="108000" cy="87480"/>
          <wp:effectExtent l="0" t="0" r="6350" b="8255"/>
          <wp:docPr id="10" name="Picture 1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8BE7" w14:textId="77777777" w:rsidR="00D1280A" w:rsidRPr="008C5A0E" w:rsidRDefault="00D1280A" w:rsidP="00D37B04">
      <w:pPr>
        <w:pStyle w:val="Footer"/>
      </w:pPr>
    </w:p>
  </w:footnote>
  <w:footnote w:type="continuationSeparator" w:id="0">
    <w:p w14:paraId="1877C5C6" w14:textId="77777777" w:rsidR="00D1280A" w:rsidRDefault="00D1280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5F79" w14:textId="77777777" w:rsidR="002D5B25" w:rsidRPr="000854FD" w:rsidRDefault="002D5B25" w:rsidP="002D5B25">
    <w:pPr>
      <w:pStyle w:val="Header"/>
    </w:pPr>
    <w:r w:rsidRPr="00943730">
      <w:rPr>
        <w:noProof/>
        <w:lang w:val="en-AU" w:eastAsia="en-AU"/>
      </w:rPr>
      <w:drawing>
        <wp:anchor distT="0" distB="0" distL="114300" distR="114300" simplePos="0" relativeHeight="251658240" behindDoc="1" locked="1" layoutInCell="1" allowOverlap="1" wp14:anchorId="25CB8335" wp14:editId="0B753CC8">
          <wp:simplePos x="0" y="0"/>
          <wp:positionH relativeFrom="page">
            <wp:posOffset>12700</wp:posOffset>
          </wp:positionH>
          <wp:positionV relativeFrom="page">
            <wp:posOffset>0</wp:posOffset>
          </wp:positionV>
          <wp:extent cx="7559675" cy="10692765"/>
          <wp:effectExtent l="0" t="0" r="3175" b="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EB7B" w14:textId="583EBDD9" w:rsidR="00D37B04" w:rsidRPr="00943730" w:rsidRDefault="000D794B" w:rsidP="00943730">
    <w:pPr>
      <w:pStyle w:val="Header"/>
    </w:pPr>
    <w:r>
      <w:t>DECEMBER 2022</w:t>
    </w:r>
    <w:r w:rsidR="002D5B25" w:rsidRPr="00943730">
      <w:rPr>
        <w:noProof/>
        <w:lang w:val="en-AU" w:eastAsia="en-AU"/>
      </w:rPr>
      <w:drawing>
        <wp:anchor distT="0" distB="0" distL="114300" distR="114300" simplePos="0" relativeHeight="251657216" behindDoc="1" locked="1" layoutInCell="1" allowOverlap="1" wp14:anchorId="5FBE1688" wp14:editId="1A733DD2">
          <wp:simplePos x="0" y="0"/>
          <wp:positionH relativeFrom="margin">
            <wp:align>left</wp:align>
          </wp:positionH>
          <wp:positionV relativeFrom="margin">
            <wp:align>top</wp:align>
          </wp:positionV>
          <wp:extent cx="3166745" cy="554355"/>
          <wp:effectExtent l="0" t="0" r="0" b="0"/>
          <wp:wrapNone/>
          <wp:docPr id="8" name="Picture 8"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val="en-AU" w:eastAsia="en-AU"/>
      </w:rPr>
      <w:drawing>
        <wp:anchor distT="0" distB="0" distL="114300" distR="114300" simplePos="0" relativeHeight="251656192" behindDoc="1" locked="1" layoutInCell="1" allowOverlap="1" wp14:anchorId="52174FAB" wp14:editId="56915CF9">
          <wp:simplePos x="0" y="0"/>
          <wp:positionH relativeFrom="page">
            <wp:posOffset>22225</wp:posOffset>
          </wp:positionH>
          <wp:positionV relativeFrom="page">
            <wp:align>top</wp:align>
          </wp:positionV>
          <wp:extent cx="7559040" cy="10692765"/>
          <wp:effectExtent l="0" t="0" r="3810"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1DE22142"/>
    <w:multiLevelType w:val="hybridMultilevel"/>
    <w:tmpl w:val="AF84FA28"/>
    <w:lvl w:ilvl="0" w:tplc="91A4AA22">
      <w:start w:val="1"/>
      <w:numFmt w:val="bullet"/>
      <w:pStyle w:val="BulletSE1"/>
      <w:lvlText w:val="·"/>
      <w:lvlJc w:val="left"/>
      <w:pPr>
        <w:ind w:left="720" w:hanging="360"/>
      </w:pPr>
      <w:rPr>
        <w:rFonts w:ascii="&quot;Calibri Light&quot;,sans-serif" w:hAnsi="&quot;Calibri Light&quot;,sans-serif" w:hint="default"/>
        <w:color w:val="auto"/>
        <w:sz w:val="32"/>
      </w:rPr>
    </w:lvl>
    <w:lvl w:ilvl="1" w:tplc="8708BCB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DFA111E"/>
    <w:multiLevelType w:val="hybridMultilevel"/>
    <w:tmpl w:val="B53A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443493"/>
    <w:multiLevelType w:val="hybridMultilevel"/>
    <w:tmpl w:val="360A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51963F56"/>
    <w:numStyleLink w:val="BulletsList"/>
  </w:abstractNum>
  <w:abstractNum w:abstractNumId="20" w15:restartNumberingAfterBreak="0">
    <w:nsid w:val="5D945348"/>
    <w:multiLevelType w:val="hybridMultilevel"/>
    <w:tmpl w:val="96FCB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15"/>
  </w:num>
  <w:num w:numId="24">
    <w:abstractNumId w:val="19"/>
  </w:num>
  <w:num w:numId="25">
    <w:abstractNumId w:val="19"/>
  </w:num>
  <w:num w:numId="26">
    <w:abstractNumId w:val="19"/>
  </w:num>
  <w:num w:numId="27">
    <w:abstractNumId w:val="18"/>
  </w:num>
  <w:num w:numId="28">
    <w:abstractNumId w:val="10"/>
  </w:num>
  <w:num w:numId="29">
    <w:abstractNumId w:val="10"/>
  </w:num>
  <w:num w:numId="30">
    <w:abstractNumId w:val="10"/>
  </w:num>
  <w:num w:numId="31">
    <w:abstractNumId w:val="12"/>
  </w:num>
  <w:num w:numId="32">
    <w:abstractNumId w:val="23"/>
  </w:num>
  <w:num w:numId="33">
    <w:abstractNumId w:val="13"/>
  </w:num>
  <w:num w:numId="3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6"/>
  </w:num>
  <w:num w:numId="37">
    <w:abstractNumId w:val="2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D6"/>
    <w:rsid w:val="00001DA8"/>
    <w:rsid w:val="000020C1"/>
    <w:rsid w:val="0002080A"/>
    <w:rsid w:val="0002782F"/>
    <w:rsid w:val="00031486"/>
    <w:rsid w:val="00035BBF"/>
    <w:rsid w:val="000371FE"/>
    <w:rsid w:val="00041628"/>
    <w:rsid w:val="00050806"/>
    <w:rsid w:val="000546D9"/>
    <w:rsid w:val="00054E4D"/>
    <w:rsid w:val="0005670A"/>
    <w:rsid w:val="00060073"/>
    <w:rsid w:val="000616C6"/>
    <w:rsid w:val="00075EF6"/>
    <w:rsid w:val="0008444C"/>
    <w:rsid w:val="000854FD"/>
    <w:rsid w:val="000A407E"/>
    <w:rsid w:val="000B12A7"/>
    <w:rsid w:val="000B37F5"/>
    <w:rsid w:val="000D66D6"/>
    <w:rsid w:val="000D794B"/>
    <w:rsid w:val="000E6399"/>
    <w:rsid w:val="000F6710"/>
    <w:rsid w:val="00103CF5"/>
    <w:rsid w:val="00113288"/>
    <w:rsid w:val="00120D59"/>
    <w:rsid w:val="001214BE"/>
    <w:rsid w:val="0013101C"/>
    <w:rsid w:val="001311D0"/>
    <w:rsid w:val="001461D6"/>
    <w:rsid w:val="001541EA"/>
    <w:rsid w:val="0015511F"/>
    <w:rsid w:val="00162A76"/>
    <w:rsid w:val="00174619"/>
    <w:rsid w:val="001C009A"/>
    <w:rsid w:val="001C1A5F"/>
    <w:rsid w:val="001D663E"/>
    <w:rsid w:val="001E1DC0"/>
    <w:rsid w:val="001E50F5"/>
    <w:rsid w:val="001E6D20"/>
    <w:rsid w:val="001F0968"/>
    <w:rsid w:val="00205E71"/>
    <w:rsid w:val="0020644A"/>
    <w:rsid w:val="002132BA"/>
    <w:rsid w:val="00244229"/>
    <w:rsid w:val="0025091C"/>
    <w:rsid w:val="002639A3"/>
    <w:rsid w:val="00280488"/>
    <w:rsid w:val="0028602A"/>
    <w:rsid w:val="002B5E10"/>
    <w:rsid w:val="002B7E31"/>
    <w:rsid w:val="002C793D"/>
    <w:rsid w:val="002D5B25"/>
    <w:rsid w:val="002E1DEA"/>
    <w:rsid w:val="002F4F2B"/>
    <w:rsid w:val="003002C0"/>
    <w:rsid w:val="00301144"/>
    <w:rsid w:val="003031C6"/>
    <w:rsid w:val="00304984"/>
    <w:rsid w:val="00312BF8"/>
    <w:rsid w:val="003148B7"/>
    <w:rsid w:val="003158C3"/>
    <w:rsid w:val="003274CD"/>
    <w:rsid w:val="00333501"/>
    <w:rsid w:val="00334E20"/>
    <w:rsid w:val="00336086"/>
    <w:rsid w:val="003457C4"/>
    <w:rsid w:val="0035119D"/>
    <w:rsid w:val="00352F6B"/>
    <w:rsid w:val="00363153"/>
    <w:rsid w:val="00390D87"/>
    <w:rsid w:val="0039344A"/>
    <w:rsid w:val="003962BD"/>
    <w:rsid w:val="003B0798"/>
    <w:rsid w:val="003B18FB"/>
    <w:rsid w:val="003B4E32"/>
    <w:rsid w:val="003B4F12"/>
    <w:rsid w:val="003C5F83"/>
    <w:rsid w:val="003C6C4F"/>
    <w:rsid w:val="003F2041"/>
    <w:rsid w:val="00402ACC"/>
    <w:rsid w:val="00410AD6"/>
    <w:rsid w:val="004120EC"/>
    <w:rsid w:val="00420C42"/>
    <w:rsid w:val="00423F31"/>
    <w:rsid w:val="00431899"/>
    <w:rsid w:val="00440435"/>
    <w:rsid w:val="00457F07"/>
    <w:rsid w:val="00482AE8"/>
    <w:rsid w:val="00486804"/>
    <w:rsid w:val="00487E23"/>
    <w:rsid w:val="004942F6"/>
    <w:rsid w:val="004B3775"/>
    <w:rsid w:val="004D0BA0"/>
    <w:rsid w:val="004E058F"/>
    <w:rsid w:val="004E3B87"/>
    <w:rsid w:val="00510921"/>
    <w:rsid w:val="00510AD3"/>
    <w:rsid w:val="00513348"/>
    <w:rsid w:val="00513AD8"/>
    <w:rsid w:val="005204D2"/>
    <w:rsid w:val="00522396"/>
    <w:rsid w:val="00533B5D"/>
    <w:rsid w:val="00572CB2"/>
    <w:rsid w:val="005A20F6"/>
    <w:rsid w:val="005D2646"/>
    <w:rsid w:val="005D3655"/>
    <w:rsid w:val="005E2398"/>
    <w:rsid w:val="005E4830"/>
    <w:rsid w:val="005E78C3"/>
    <w:rsid w:val="00622B86"/>
    <w:rsid w:val="00623BA1"/>
    <w:rsid w:val="006346BC"/>
    <w:rsid w:val="006464FE"/>
    <w:rsid w:val="0066652A"/>
    <w:rsid w:val="006719C3"/>
    <w:rsid w:val="00680522"/>
    <w:rsid w:val="00682167"/>
    <w:rsid w:val="006C42AF"/>
    <w:rsid w:val="006C4386"/>
    <w:rsid w:val="006E5EDA"/>
    <w:rsid w:val="006F55B1"/>
    <w:rsid w:val="00703A01"/>
    <w:rsid w:val="00711D8E"/>
    <w:rsid w:val="00712672"/>
    <w:rsid w:val="00734E3F"/>
    <w:rsid w:val="00736985"/>
    <w:rsid w:val="00741390"/>
    <w:rsid w:val="00745DF5"/>
    <w:rsid w:val="0074692E"/>
    <w:rsid w:val="0076250F"/>
    <w:rsid w:val="00772904"/>
    <w:rsid w:val="0077550C"/>
    <w:rsid w:val="00780FA5"/>
    <w:rsid w:val="007A6AB9"/>
    <w:rsid w:val="007B6200"/>
    <w:rsid w:val="007C6D09"/>
    <w:rsid w:val="007E556D"/>
    <w:rsid w:val="007F3395"/>
    <w:rsid w:val="00801B9F"/>
    <w:rsid w:val="0080204D"/>
    <w:rsid w:val="008102B9"/>
    <w:rsid w:val="00837A61"/>
    <w:rsid w:val="0084191E"/>
    <w:rsid w:val="008475F0"/>
    <w:rsid w:val="008557A7"/>
    <w:rsid w:val="00870928"/>
    <w:rsid w:val="00872AA6"/>
    <w:rsid w:val="0089405C"/>
    <w:rsid w:val="00897FA2"/>
    <w:rsid w:val="008A4576"/>
    <w:rsid w:val="008A5AFE"/>
    <w:rsid w:val="008C5A0E"/>
    <w:rsid w:val="00904DF9"/>
    <w:rsid w:val="009125FC"/>
    <w:rsid w:val="00923604"/>
    <w:rsid w:val="009245B5"/>
    <w:rsid w:val="00943730"/>
    <w:rsid w:val="0095413E"/>
    <w:rsid w:val="00956825"/>
    <w:rsid w:val="00965398"/>
    <w:rsid w:val="00975CA5"/>
    <w:rsid w:val="0098149E"/>
    <w:rsid w:val="009838B0"/>
    <w:rsid w:val="00986590"/>
    <w:rsid w:val="00992C76"/>
    <w:rsid w:val="009969D6"/>
    <w:rsid w:val="009A0BBC"/>
    <w:rsid w:val="009B4D3B"/>
    <w:rsid w:val="009D7407"/>
    <w:rsid w:val="009E0866"/>
    <w:rsid w:val="009E273C"/>
    <w:rsid w:val="009F1350"/>
    <w:rsid w:val="009F6423"/>
    <w:rsid w:val="00A059AF"/>
    <w:rsid w:val="00A112EE"/>
    <w:rsid w:val="00A1260E"/>
    <w:rsid w:val="00A24A62"/>
    <w:rsid w:val="00A30D82"/>
    <w:rsid w:val="00A31C9F"/>
    <w:rsid w:val="00A3699F"/>
    <w:rsid w:val="00A4144F"/>
    <w:rsid w:val="00A57EE8"/>
    <w:rsid w:val="00A61B4D"/>
    <w:rsid w:val="00A636E0"/>
    <w:rsid w:val="00A75253"/>
    <w:rsid w:val="00A80F95"/>
    <w:rsid w:val="00A82C60"/>
    <w:rsid w:val="00A937D8"/>
    <w:rsid w:val="00A96441"/>
    <w:rsid w:val="00A97BF1"/>
    <w:rsid w:val="00AA298A"/>
    <w:rsid w:val="00AC164A"/>
    <w:rsid w:val="00AD4310"/>
    <w:rsid w:val="00AD6586"/>
    <w:rsid w:val="00AE448A"/>
    <w:rsid w:val="00AF2050"/>
    <w:rsid w:val="00B02B2A"/>
    <w:rsid w:val="00B03CA8"/>
    <w:rsid w:val="00B215D1"/>
    <w:rsid w:val="00B23C62"/>
    <w:rsid w:val="00B33C0A"/>
    <w:rsid w:val="00B37A14"/>
    <w:rsid w:val="00B55E19"/>
    <w:rsid w:val="00B857E1"/>
    <w:rsid w:val="00B94758"/>
    <w:rsid w:val="00BA4B6D"/>
    <w:rsid w:val="00BB26C5"/>
    <w:rsid w:val="00BC33C7"/>
    <w:rsid w:val="00BD6971"/>
    <w:rsid w:val="00BE5BD7"/>
    <w:rsid w:val="00BF4DE6"/>
    <w:rsid w:val="00C06B13"/>
    <w:rsid w:val="00C27D25"/>
    <w:rsid w:val="00C35791"/>
    <w:rsid w:val="00C423CE"/>
    <w:rsid w:val="00C42541"/>
    <w:rsid w:val="00C42CDE"/>
    <w:rsid w:val="00C42EB7"/>
    <w:rsid w:val="00C5182A"/>
    <w:rsid w:val="00C63EE9"/>
    <w:rsid w:val="00C814D1"/>
    <w:rsid w:val="00C94B5D"/>
    <w:rsid w:val="00CA16F3"/>
    <w:rsid w:val="00CA37B1"/>
    <w:rsid w:val="00CA45F6"/>
    <w:rsid w:val="00CB1959"/>
    <w:rsid w:val="00CB5703"/>
    <w:rsid w:val="00CC1B96"/>
    <w:rsid w:val="00CC2AFE"/>
    <w:rsid w:val="00CC384E"/>
    <w:rsid w:val="00CC741B"/>
    <w:rsid w:val="00CD0E4B"/>
    <w:rsid w:val="00CE4C89"/>
    <w:rsid w:val="00CE5889"/>
    <w:rsid w:val="00CF07BA"/>
    <w:rsid w:val="00D0296C"/>
    <w:rsid w:val="00D1280A"/>
    <w:rsid w:val="00D230DA"/>
    <w:rsid w:val="00D23479"/>
    <w:rsid w:val="00D24F06"/>
    <w:rsid w:val="00D32D6F"/>
    <w:rsid w:val="00D351D7"/>
    <w:rsid w:val="00D35C65"/>
    <w:rsid w:val="00D37B04"/>
    <w:rsid w:val="00D540C6"/>
    <w:rsid w:val="00D64BD1"/>
    <w:rsid w:val="00D71A2E"/>
    <w:rsid w:val="00D74E8D"/>
    <w:rsid w:val="00D92254"/>
    <w:rsid w:val="00D93090"/>
    <w:rsid w:val="00DC407E"/>
    <w:rsid w:val="00DC7193"/>
    <w:rsid w:val="00DE084C"/>
    <w:rsid w:val="00DF01EA"/>
    <w:rsid w:val="00DF35A9"/>
    <w:rsid w:val="00E12C23"/>
    <w:rsid w:val="00E14F51"/>
    <w:rsid w:val="00E30A1E"/>
    <w:rsid w:val="00E332B3"/>
    <w:rsid w:val="00E357B7"/>
    <w:rsid w:val="00E53800"/>
    <w:rsid w:val="00E55078"/>
    <w:rsid w:val="00E6081F"/>
    <w:rsid w:val="00E8296D"/>
    <w:rsid w:val="00E8457B"/>
    <w:rsid w:val="00E87A5A"/>
    <w:rsid w:val="00E90D39"/>
    <w:rsid w:val="00EA04B2"/>
    <w:rsid w:val="00EA20F3"/>
    <w:rsid w:val="00ED2831"/>
    <w:rsid w:val="00ED43D1"/>
    <w:rsid w:val="00EE4EE1"/>
    <w:rsid w:val="00EF4574"/>
    <w:rsid w:val="00EF5065"/>
    <w:rsid w:val="00F136BF"/>
    <w:rsid w:val="00F20161"/>
    <w:rsid w:val="00F2194E"/>
    <w:rsid w:val="00F253E9"/>
    <w:rsid w:val="00F25A93"/>
    <w:rsid w:val="00F2684E"/>
    <w:rsid w:val="00F5404C"/>
    <w:rsid w:val="00F54390"/>
    <w:rsid w:val="00F560AA"/>
    <w:rsid w:val="00F6169D"/>
    <w:rsid w:val="00F67C6A"/>
    <w:rsid w:val="00F729EF"/>
    <w:rsid w:val="00F77CAE"/>
    <w:rsid w:val="00F82271"/>
    <w:rsid w:val="00F83428"/>
    <w:rsid w:val="00F96BB9"/>
    <w:rsid w:val="00FA3E06"/>
    <w:rsid w:val="00FE1488"/>
    <w:rsid w:val="00FE3B93"/>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ED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F35A9"/>
    <w:pPr>
      <w:suppressAutoHyphens/>
      <w:spacing w:before="120" w:after="60" w:line="260" w:lineRule="atLeast"/>
    </w:pPr>
    <w:rPr>
      <w:rFonts w:ascii="Calibri Light" w:eastAsia="Calibri Light" w:hAnsi="Calibri Light" w:cs="Times New Roman"/>
      <w:color w:val="495965"/>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color w:val="495965" w:themeColor="text2"/>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rPr>
      <w:rFonts w:asciiTheme="minorHAnsi" w:eastAsiaTheme="minorHAnsi" w:hAnsiTheme="minorHAnsi" w:cstheme="minorBidi"/>
      <w:color w:val="495965" w:themeColor="text2"/>
    </w:r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numPr>
        <w:numId w:val="33"/>
      </w:numPr>
      <w:spacing w:before="0"/>
    </w:pPr>
    <w:rPr>
      <w:rFonts w:asciiTheme="minorHAnsi" w:eastAsiaTheme="minorHAnsi" w:hAnsiTheme="minorHAnsi" w:cstheme="minorBidi"/>
      <w:color w:val="495965" w:themeColor="text2"/>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rPr>
      <w:rFonts w:asciiTheme="minorHAnsi" w:eastAsiaTheme="minorHAnsi" w:hAnsiTheme="minorHAnsi" w:cstheme="minorBidi"/>
      <w:color w:val="495965" w:themeColor="text2"/>
    </w:r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rFonts w:asciiTheme="minorHAnsi" w:eastAsiaTheme="minorHAnsi" w:hAnsiTheme="minorHAnsi" w:cstheme="minorBidi"/>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rPr>
      <w:rFonts w:asciiTheme="minorHAnsi" w:eastAsiaTheme="minorHAnsi" w:hAnsiTheme="minorHAnsi" w:cstheme="minorBidi"/>
      <w:color w:val="495965" w:themeColor="text2"/>
    </w:rPr>
  </w:style>
  <w:style w:type="paragraph" w:styleId="TOC3">
    <w:name w:val="toc 3"/>
    <w:basedOn w:val="Normal"/>
    <w:next w:val="Normal"/>
    <w:autoRedefine/>
    <w:uiPriority w:val="39"/>
    <w:unhideWhenUsed/>
    <w:rsid w:val="0035119D"/>
    <w:pPr>
      <w:spacing w:after="100"/>
      <w:ind w:left="400"/>
    </w:pPr>
    <w:rPr>
      <w:rFonts w:asciiTheme="minorHAnsi" w:eastAsiaTheme="minorHAnsi" w:hAnsiTheme="minorHAnsi" w:cstheme="minorBidi"/>
      <w:color w:val="495965" w:themeColor="text2"/>
    </w:rPr>
  </w:style>
  <w:style w:type="paragraph" w:styleId="Header">
    <w:name w:val="header"/>
    <w:basedOn w:val="Normal"/>
    <w:link w:val="HeaderChar"/>
    <w:uiPriority w:val="99"/>
    <w:unhideWhenUsed/>
    <w:rsid w:val="00FE6F2A"/>
    <w:pPr>
      <w:tabs>
        <w:tab w:val="center" w:pos="4513"/>
        <w:tab w:val="right" w:pos="9026"/>
      </w:tabs>
      <w:spacing w:before="0" w:after="0"/>
      <w:ind w:left="227"/>
    </w:pPr>
    <w:rPr>
      <w:rFonts w:asciiTheme="minorHAnsi" w:eastAsiaTheme="minorHAnsi" w:hAnsiTheme="minorHAnsi" w:cstheme="minorBidi"/>
      <w:b/>
      <w:caps/>
      <w:color w:val="495965" w:themeColor="text2"/>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asciiTheme="minorHAnsi" w:eastAsiaTheme="minorEastAsia" w:hAnsiTheme="minorHAnsi" w:cstheme="minorBidi"/>
      <w:color w:val="495965" w:themeColor="text2"/>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asciiTheme="minorHAnsi" w:eastAsiaTheme="minorEastAsia" w:hAnsiTheme="minorHAnsi" w:cstheme="minorBidi"/>
      <w:color w:val="495965" w:themeColor="text2"/>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asciiTheme="minorHAnsi" w:eastAsiaTheme="minorEastAsia" w:hAnsiTheme="minorHAnsi" w:cstheme="minorBidi"/>
      <w:color w:val="495965" w:themeColor="text2"/>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asciiTheme="minorHAnsi" w:eastAsiaTheme="minorEastAsia" w:hAnsiTheme="minorHAnsi" w:cstheme="minorBidi"/>
      <w:color w:val="495965" w:themeColor="text2"/>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asciiTheme="minorHAnsi" w:eastAsiaTheme="minorEastAsia" w:hAnsiTheme="minorHAnsi" w:cstheme="minorBidi"/>
      <w:color w:val="495965" w:themeColor="text2"/>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asciiTheme="minorHAnsi" w:eastAsiaTheme="minorEastAsia" w:hAnsiTheme="minorHAnsi" w:cstheme="minorBidi"/>
      <w:color w:val="495965" w:themeColor="text2"/>
      <w:lang w:eastAsia="en-AU"/>
    </w:rPr>
  </w:style>
  <w:style w:type="paragraph" w:styleId="TableofFigures">
    <w:name w:val="table of figures"/>
    <w:basedOn w:val="Normal"/>
    <w:next w:val="Normal"/>
    <w:uiPriority w:val="99"/>
    <w:unhideWhenUsed/>
    <w:rsid w:val="0035119D"/>
    <w:pPr>
      <w:spacing w:after="0"/>
      <w:ind w:left="907" w:hanging="907"/>
    </w:pPr>
    <w:rPr>
      <w:rFonts w:asciiTheme="minorHAnsi" w:eastAsiaTheme="minorHAnsi" w:hAnsiTheme="minorHAnsi" w:cstheme="minorBidi"/>
      <w:color w:val="495965" w:themeColor="text2"/>
    </w:rPr>
  </w:style>
  <w:style w:type="paragraph" w:customStyle="1" w:styleId="IntroPara">
    <w:name w:val="Intro Para"/>
    <w:basedOn w:val="Normal"/>
    <w:qFormat/>
    <w:rsid w:val="00103CF5"/>
    <w:pPr>
      <w:spacing w:before="400" w:after="400" w:line="280" w:lineRule="exact"/>
    </w:pPr>
    <w:rPr>
      <w:rFonts w:asciiTheme="minorHAnsi" w:eastAsiaTheme="minorHAnsi" w:hAnsiTheme="minorHAnsi" w:cstheme="minorBidi"/>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rFonts w:asciiTheme="minorHAnsi" w:eastAsiaTheme="minorHAnsi" w:hAnsiTheme="minorHAnsi" w:cstheme="minorBidi"/>
      <w:b/>
      <w:iCs/>
      <w:color w:val="495965" w:themeColor="text2"/>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rFonts w:asciiTheme="minorHAnsi" w:eastAsiaTheme="minorHAnsi" w:hAnsiTheme="minorHAnsi" w:cstheme="minorBidi"/>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rFonts w:asciiTheme="minorHAnsi" w:eastAsiaTheme="minorHAnsi" w:hAnsiTheme="minorHAnsi" w:cstheme="minorBidi"/>
      <w:iCs/>
      <w:color w:val="495965" w:themeColor="text2"/>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rFonts w:asciiTheme="minorHAnsi" w:eastAsiaTheme="minorHAnsi" w:hAnsiTheme="minorHAnsi" w:cstheme="minorBidi"/>
      <w:color w:val="495965" w:themeColor="text2"/>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rFonts w:asciiTheme="minorHAnsi" w:eastAsiaTheme="minorHAnsi" w:hAnsiTheme="minorHAnsi" w:cstheme="minorBidi"/>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rPr>
      <w:rFonts w:asciiTheme="minorHAnsi" w:eastAsiaTheme="minorHAnsi" w:hAnsiTheme="minorHAnsi" w:cstheme="minorBidi"/>
      <w:color w:val="495965" w:themeColor="text2"/>
    </w:rPr>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rFonts w:asciiTheme="minorHAnsi" w:eastAsiaTheme="minorHAnsi" w:hAnsiTheme="minorHAnsi" w:cstheme="minorBidi"/>
      <w:color w:val="495965" w:themeColor="text2"/>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eastAsiaTheme="minorHAnsi" w:hAnsi="Calibri" w:cstheme="minorBidi"/>
      <w:b/>
      <w:color w:val="495965" w:themeColor="text2"/>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rFonts w:asciiTheme="minorHAnsi" w:eastAsiaTheme="minorHAnsi" w:hAnsiTheme="minorHAnsi" w:cstheme="minorBidi"/>
      <w:color w:val="495965" w:themeColor="text2"/>
      <w:sz w:val="12"/>
    </w:rPr>
  </w:style>
  <w:style w:type="paragraph" w:customStyle="1" w:styleId="TableTotalRow">
    <w:name w:val="Table Total Row"/>
    <w:basedOn w:val="Normal"/>
    <w:qFormat/>
    <w:rsid w:val="00CF07BA"/>
    <w:pPr>
      <w:spacing w:before="60"/>
    </w:pPr>
    <w:rPr>
      <w:rFonts w:ascii="Calibri" w:eastAsiaTheme="minorHAnsi" w:hAnsi="Calibri" w:cstheme="minorBid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eastAsiaTheme="minorHAnsi" w:hAnsi="Calibri" w:cstheme="minorBidi"/>
      <w:color w:val="495965" w:themeColor="text2"/>
      <w:szCs w:val="21"/>
    </w:rPr>
  </w:style>
  <w:style w:type="paragraph" w:customStyle="1" w:styleId="PhotoCredit">
    <w:name w:val="Photo Credit"/>
    <w:basedOn w:val="Normal"/>
    <w:qFormat/>
    <w:rsid w:val="00A80F95"/>
    <w:pPr>
      <w:spacing w:after="200" w:line="160" w:lineRule="atLeast"/>
      <w:jc w:val="right"/>
    </w:pPr>
    <w:rPr>
      <w:rFonts w:asciiTheme="minorHAnsi" w:eastAsiaTheme="minorHAnsi" w:hAnsiTheme="minorHAnsi" w:cstheme="minorBidi"/>
      <w:color w:val="495965" w:themeColor="text2"/>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eastAsiaTheme="minorHAnsi" w:hAnsi="Tahoma" w:cs="Tahoma"/>
      <w:color w:val="495965" w:themeColor="text2"/>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rPr>
      <w:rFonts w:asciiTheme="minorHAnsi" w:eastAsiaTheme="minorHAnsi" w:hAnsiTheme="minorHAnsi" w:cstheme="minorBidi"/>
      <w:color w:val="495965" w:themeColor="text2"/>
    </w:r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rFonts w:asciiTheme="minorHAnsi" w:eastAsiaTheme="minorHAnsi" w:hAnsiTheme="minorHAnsi" w:cstheme="minorBidi"/>
      <w:color w:val="495965" w:themeColor="text2"/>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rPr>
      <w:rFonts w:asciiTheme="minorHAnsi" w:eastAsiaTheme="minorHAnsi" w:hAnsiTheme="minorHAnsi" w:cstheme="minorBidi"/>
      <w:color w:val="495965" w:themeColor="text2"/>
    </w:rPr>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rPr>
      <w:rFonts w:asciiTheme="minorHAnsi" w:eastAsiaTheme="minorHAnsi" w:hAnsiTheme="minorHAnsi" w:cstheme="minorBidi"/>
      <w:color w:val="495965" w:themeColor="text2"/>
    </w:r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rFonts w:asciiTheme="minorHAnsi" w:eastAsiaTheme="minorHAnsi" w:hAnsiTheme="minorHAnsi" w:cstheme="minorBidi"/>
      <w:color w:val="495965" w:themeColor="text2"/>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rPr>
      <w:rFonts w:asciiTheme="minorHAnsi" w:eastAsiaTheme="minorHAnsi" w:hAnsiTheme="minorHAnsi" w:cstheme="minorBidi"/>
      <w:color w:val="495965" w:themeColor="text2"/>
    </w:r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asciiTheme="minorHAnsi" w:eastAsiaTheme="minorEastAsia" w:hAnsiTheme="minorHAnsi" w:cstheme="minorBidi"/>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rFonts w:asciiTheme="minorHAnsi" w:eastAsiaTheme="minorHAnsi" w:hAnsiTheme="minorHAnsi" w:cstheme="minorBidi"/>
      <w:color w:val="495965" w:themeColor="text2"/>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EndnoteText">
    <w:name w:val="endnote text"/>
    <w:basedOn w:val="Normal"/>
    <w:link w:val="EndnoteTextChar"/>
    <w:uiPriority w:val="99"/>
    <w:semiHidden/>
    <w:unhideWhenUsed/>
    <w:rsid w:val="00D74E8D"/>
    <w:pPr>
      <w:spacing w:before="0" w:after="0" w:line="240" w:lineRule="auto"/>
    </w:pPr>
    <w:rPr>
      <w:rFonts w:asciiTheme="minorHAnsi" w:eastAsiaTheme="minorHAnsi" w:hAnsiTheme="minorHAnsi" w:cstheme="minorBidi"/>
      <w:color w:val="495965" w:themeColor="text2"/>
      <w:sz w:val="20"/>
      <w:szCs w:val="20"/>
    </w:rPr>
  </w:style>
  <w:style w:type="character" w:customStyle="1" w:styleId="EndnoteTextChar">
    <w:name w:val="Endnote Text Char"/>
    <w:basedOn w:val="DefaultParagraphFont"/>
    <w:link w:val="EndnoteText"/>
    <w:uiPriority w:val="99"/>
    <w:semiHidden/>
    <w:rsid w:val="00D74E8D"/>
    <w:rPr>
      <w:color w:val="495965" w:themeColor="text2"/>
      <w:sz w:val="20"/>
      <w:szCs w:val="20"/>
      <w:lang w:val="en-GB"/>
    </w:rPr>
  </w:style>
  <w:style w:type="character" w:styleId="EndnoteReference">
    <w:name w:val="endnote reference"/>
    <w:basedOn w:val="DefaultParagraphFont"/>
    <w:uiPriority w:val="99"/>
    <w:semiHidden/>
    <w:unhideWhenUsed/>
    <w:rsid w:val="00D74E8D"/>
    <w:rPr>
      <w:vertAlign w:val="superscript"/>
    </w:rPr>
  </w:style>
  <w:style w:type="character" w:customStyle="1" w:styleId="Bullet1Char">
    <w:name w:val="Bullet 1 Char"/>
    <w:link w:val="Bullet1"/>
    <w:locked/>
    <w:rsid w:val="00D74E8D"/>
    <w:rPr>
      <w:color w:val="495965" w:themeColor="text2"/>
      <w:lang w:val="en-GB"/>
    </w:rPr>
  </w:style>
  <w:style w:type="character" w:styleId="FollowedHyperlink">
    <w:name w:val="FollowedHyperlink"/>
    <w:basedOn w:val="DefaultParagraphFont"/>
    <w:uiPriority w:val="99"/>
    <w:semiHidden/>
    <w:unhideWhenUsed/>
    <w:rsid w:val="00904DF9"/>
    <w:rPr>
      <w:color w:val="800080" w:themeColor="followedHyperlink"/>
      <w:u w:val="single"/>
    </w:rPr>
  </w:style>
  <w:style w:type="paragraph" w:styleId="ListParagraph">
    <w:name w:val="List Paragraph"/>
    <w:basedOn w:val="Normal"/>
    <w:uiPriority w:val="34"/>
    <w:qFormat/>
    <w:locked/>
    <w:rsid w:val="00334E20"/>
    <w:pPr>
      <w:ind w:left="720"/>
      <w:contextualSpacing/>
    </w:pPr>
    <w:rPr>
      <w:rFonts w:asciiTheme="minorHAnsi" w:eastAsiaTheme="minorHAnsi" w:hAnsiTheme="minorHAnsi" w:cstheme="minorBidi"/>
      <w:color w:val="495965" w:themeColor="text2"/>
    </w:rPr>
  </w:style>
  <w:style w:type="paragraph" w:customStyle="1" w:styleId="BulletSE1">
    <w:name w:val="Bullet SE 1"/>
    <w:basedOn w:val="Bullet1"/>
    <w:link w:val="BulletSE1Char"/>
    <w:qFormat/>
    <w:rsid w:val="00BD6971"/>
    <w:pPr>
      <w:numPr>
        <w:numId w:val="38"/>
      </w:numPr>
      <w:suppressAutoHyphens w:val="0"/>
      <w:spacing w:before="120" w:after="120" w:line="240" w:lineRule="auto"/>
      <w:ind w:left="567" w:hanging="567"/>
    </w:pPr>
    <w:rPr>
      <w:rFonts w:ascii="Calibri Light" w:hAnsi="Calibri Light"/>
      <w:sz w:val="24"/>
      <w:szCs w:val="24"/>
    </w:rPr>
  </w:style>
  <w:style w:type="character" w:customStyle="1" w:styleId="BulletSE1Char">
    <w:name w:val="Bullet SE 1 Char"/>
    <w:basedOn w:val="Bullet1Char"/>
    <w:link w:val="BulletSE1"/>
    <w:rsid w:val="00BD6971"/>
    <w:rPr>
      <w:rFonts w:ascii="Calibri Light" w:hAnsi="Calibri Light"/>
      <w:color w:val="495965" w:themeColor="text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9619">
      <w:bodyDiv w:val="1"/>
      <w:marLeft w:val="0"/>
      <w:marRight w:val="0"/>
      <w:marTop w:val="0"/>
      <w:marBottom w:val="0"/>
      <w:divBdr>
        <w:top w:val="none" w:sz="0" w:space="0" w:color="auto"/>
        <w:left w:val="none" w:sz="0" w:space="0" w:color="auto"/>
        <w:bottom w:val="none" w:sz="0" w:space="0" w:color="auto"/>
        <w:right w:val="none" w:sz="0" w:space="0" w:color="auto"/>
      </w:divBdr>
    </w:div>
    <w:div w:id="336423511">
      <w:bodyDiv w:val="1"/>
      <w:marLeft w:val="0"/>
      <w:marRight w:val="0"/>
      <w:marTop w:val="0"/>
      <w:marBottom w:val="0"/>
      <w:divBdr>
        <w:top w:val="none" w:sz="0" w:space="0" w:color="auto"/>
        <w:left w:val="none" w:sz="0" w:space="0" w:color="auto"/>
        <w:bottom w:val="none" w:sz="0" w:space="0" w:color="auto"/>
        <w:right w:val="none" w:sz="0" w:space="0" w:color="auto"/>
      </w:divBdr>
    </w:div>
    <w:div w:id="863834355">
      <w:bodyDiv w:val="1"/>
      <w:marLeft w:val="0"/>
      <w:marRight w:val="0"/>
      <w:marTop w:val="0"/>
      <w:marBottom w:val="0"/>
      <w:divBdr>
        <w:top w:val="none" w:sz="0" w:space="0" w:color="auto"/>
        <w:left w:val="none" w:sz="0" w:space="0" w:color="auto"/>
        <w:bottom w:val="none" w:sz="0" w:space="0" w:color="auto"/>
        <w:right w:val="none" w:sz="0" w:space="0" w:color="auto"/>
      </w:divBdr>
    </w:div>
    <w:div w:id="876742570">
      <w:bodyDiv w:val="1"/>
      <w:marLeft w:val="0"/>
      <w:marRight w:val="0"/>
      <w:marTop w:val="0"/>
      <w:marBottom w:val="0"/>
      <w:divBdr>
        <w:top w:val="none" w:sz="0" w:space="0" w:color="auto"/>
        <w:left w:val="none" w:sz="0" w:space="0" w:color="auto"/>
        <w:bottom w:val="none" w:sz="0" w:space="0" w:color="auto"/>
        <w:right w:val="none" w:sz="0" w:space="0" w:color="auto"/>
      </w:divBdr>
    </w:div>
    <w:div w:id="1532187679">
      <w:bodyDiv w:val="1"/>
      <w:marLeft w:val="0"/>
      <w:marRight w:val="0"/>
      <w:marTop w:val="0"/>
      <w:marBottom w:val="0"/>
      <w:divBdr>
        <w:top w:val="none" w:sz="0" w:space="0" w:color="auto"/>
        <w:left w:val="none" w:sz="0" w:space="0" w:color="auto"/>
        <w:bottom w:val="none" w:sz="0" w:space="0" w:color="auto"/>
        <w:right w:val="none" w:sz="0" w:space="0" w:color="auto"/>
      </w:divBdr>
    </w:div>
    <w:div w:id="15886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reignarrangements@dfa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guidelines-counter-foreign-interference-australian-university-sector/resources/guidelines-counter-foreign-interference-australian-university-secto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9c4cb4-f28f-46be-b152-e209daf8d018">
      <Terms xmlns="http://schemas.microsoft.com/office/infopath/2007/PartnerControls"/>
    </lcf76f155ced4ddcb4097134ff3c332f>
    <TaxCatchAll xmlns="f2512369-2b23-41fa-aee6-0b13e1403f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3DDB64D5A40948B0896202F60F6F0D" ma:contentTypeVersion="14" ma:contentTypeDescription="Create a new document." ma:contentTypeScope="" ma:versionID="8bdeb78dfd8034312880b63edbec989b">
  <xsd:schema xmlns:xsd="http://www.w3.org/2001/XMLSchema" xmlns:xs="http://www.w3.org/2001/XMLSchema" xmlns:p="http://schemas.microsoft.com/office/2006/metadata/properties" xmlns:ns2="719c4cb4-f28f-46be-b152-e209daf8d018" xmlns:ns3="f2512369-2b23-41fa-aee6-0b13e1403fef" targetNamespace="http://schemas.microsoft.com/office/2006/metadata/properties" ma:root="true" ma:fieldsID="c4cae27f5ca8d5338d398e10854b35ed" ns2:_="" ns3:_="">
    <xsd:import namespace="719c4cb4-f28f-46be-b152-e209daf8d018"/>
    <xsd:import namespace="f2512369-2b23-41fa-aee6-0b13e1403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c4cb4-f28f-46be-b152-e209daf8d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512369-2b23-41fa-aee6-0b13e1403f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7dc7d8f-dac5-47a8-b920-f4089ab7c74d}" ma:internalName="TaxCatchAll" ma:showField="CatchAllData" ma:web="f2512369-2b23-41fa-aee6-0b13e1403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F415C-F91B-49BD-BDD2-9B375CE3638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959DA1B6-1F3F-47D3-A6C4-152576C7BB2D"/>
    <ds:schemaRef ds:uri="http://www.w3.org/XML/1998/namespace"/>
    <ds:schemaRef ds:uri="http://purl.org/dc/dcmitype/"/>
    <ds:schemaRef ds:uri="719c4cb4-f28f-46be-b152-e209daf8d018"/>
    <ds:schemaRef ds:uri="f2512369-2b23-41fa-aee6-0b13e1403fef"/>
  </ds:schemaRefs>
</ds:datastoreItem>
</file>

<file path=customXml/itemProps2.xml><?xml version="1.0" encoding="utf-8"?>
<ds:datastoreItem xmlns:ds="http://schemas.openxmlformats.org/officeDocument/2006/customXml" ds:itemID="{67303A8E-F92F-4F72-B116-9A5EC3ACBA8D}">
  <ds:schemaRefs>
    <ds:schemaRef ds:uri="http://schemas.microsoft.com/sharepoint/v3/contenttype/forms"/>
  </ds:schemaRefs>
</ds:datastoreItem>
</file>

<file path=customXml/itemProps3.xml><?xml version="1.0" encoding="utf-8"?>
<ds:datastoreItem xmlns:ds="http://schemas.openxmlformats.org/officeDocument/2006/customXml" ds:itemID="{25EF9889-13C2-4116-B1FB-3F330C16B89D}">
  <ds:schemaRefs>
    <ds:schemaRef ds:uri="http://schemas.openxmlformats.org/officeDocument/2006/bibliography"/>
  </ds:schemaRefs>
</ds:datastoreItem>
</file>

<file path=customXml/itemProps4.xml><?xml version="1.0" encoding="utf-8"?>
<ds:datastoreItem xmlns:ds="http://schemas.openxmlformats.org/officeDocument/2006/customXml" ds:itemID="{40474F74-C7E6-4483-B7BA-4E37CDD5C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c4cb4-f28f-46be-b152-e209daf8d018"/>
    <ds:schemaRef ds:uri="f2512369-2b23-41fa-aee6-0b13e1403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5356</Characters>
  <Application>Microsoft Office Word</Application>
  <DocSecurity>0</DocSecurity>
  <Lines>83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2023-01-10T06:22:00Z</dcterms:created>
  <dcterms:modified xsi:type="dcterms:W3CDTF">2023-01-10T06:36:00Z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5e245da4-4879-4845-b7ab-f0185dec77a0</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E4F0388778BC4D7E8EA94E64C2ABD902</vt:lpwstr>
  </property>
  <property fmtid="{D5CDD505-2E9C-101B-9397-08002B2CF9AE}" pid="11" name="PM_ProtectiveMarkingValue_Footer">
    <vt:lpwstr>OFFICIAL</vt:lpwstr>
  </property>
  <property fmtid="{D5CDD505-2E9C-101B-9397-08002B2CF9AE}" pid="12" name="PM_Originator_Hash_SHA1">
    <vt:lpwstr>F5DF65C1F53612D4D2AA6B380308FF22CDBA2970</vt:lpwstr>
  </property>
  <property fmtid="{D5CDD505-2E9C-101B-9397-08002B2CF9AE}" pid="13" name="PM_OriginationTimeStamp">
    <vt:lpwstr>2023-01-10T06:21:58Z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3729C2903D9659D6DE0587EEE753EBA6</vt:lpwstr>
  </property>
  <property fmtid="{D5CDD505-2E9C-101B-9397-08002B2CF9AE}" pid="22" name="PM_Hash_Salt">
    <vt:lpwstr>40069288EF9BEDB80D113A5DA9CA59E6</vt:lpwstr>
  </property>
  <property fmtid="{D5CDD505-2E9C-101B-9397-08002B2CF9AE}" pid="23" name="PM_Hash_SHA1">
    <vt:lpwstr>4FE7024DC3A2C9168F2580A08059492D2C3E20D1</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0x010100F63DDB64D5A40948B0896202F60F6F0D</vt:lpwstr>
  </property>
  <property fmtid="{D5CDD505-2E9C-101B-9397-08002B2CF9AE}" pid="28" name="PM_Display">
    <vt:lpwstr>OFFICIAL</vt:lpwstr>
  </property>
  <property fmtid="{D5CDD505-2E9C-101B-9397-08002B2CF9AE}" pid="29" name="PMUuid">
    <vt:lpwstr>ABBFF5E2-9674-55C9-B08D-C9980002FD58</vt:lpwstr>
  </property>
  <property fmtid="{D5CDD505-2E9C-101B-9397-08002B2CF9AE}" pid="30" name="PMUuidVer">
    <vt:lpwstr>2022.1</vt:lpwstr>
  </property>
  <property fmtid="{D5CDD505-2E9C-101B-9397-08002B2CF9AE}" pid="31" name="PM_OriginatorUserAccountName_SHA256">
    <vt:lpwstr>C8F2330117ADB46CF50C5F7F700B08A121D920E5C8EA077CDE102605724225C4</vt:lpwstr>
  </property>
  <property fmtid="{D5CDD505-2E9C-101B-9397-08002B2CF9AE}" pid="32" name="PM_OriginatorDomainName_SHA256">
    <vt:lpwstr>6F3591835F3B2A8A025B00B5BA6418010DA3A17C9C26EA9C049FFD28039489A2</vt:lpwstr>
  </property>
</Properties>
</file>