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35A9" w:rsidP="00DF35A9" w:rsidRDefault="00DF35A9" w14:paraId="52A51C9F" w14:textId="77777777">
      <w:pPr>
        <w:pStyle w:val="SpacebeforeTitle"/>
        <w:tabs>
          <w:tab w:val="left" w:pos="2925"/>
        </w:tabs>
        <w:spacing w:after="480"/>
      </w:pPr>
      <w:r>
        <w:tab/>
      </w:r>
    </w:p>
    <w:p w:rsidR="00DF35A9" w:rsidP="00DF35A9" w:rsidRDefault="00DF35A9" w14:paraId="2347E43E" w14:textId="77777777">
      <w:pPr>
        <w:pStyle w:val="Title"/>
        <w:spacing w:line="240" w:lineRule="auto"/>
        <w:ind w:left="-709" w:right="-709"/>
        <w:jc w:val="center"/>
        <w:rPr>
          <w:sz w:val="32"/>
          <w:szCs w:val="32"/>
        </w:rPr>
      </w:pPr>
      <w:r>
        <w:rPr>
          <w:sz w:val="32"/>
          <w:szCs w:val="32"/>
        </w:rPr>
        <w:t xml:space="preserve">Australia’s Foreign Relations </w:t>
      </w:r>
    </w:p>
    <w:p w:rsidR="00DF35A9" w:rsidP="00DF35A9" w:rsidRDefault="00DF35A9" w14:paraId="180BE841" w14:textId="77777777">
      <w:pPr>
        <w:pStyle w:val="Title"/>
        <w:spacing w:line="240" w:lineRule="auto"/>
        <w:ind w:left="-709" w:right="-709"/>
        <w:jc w:val="center"/>
        <w:rPr>
          <w:sz w:val="32"/>
          <w:szCs w:val="32"/>
        </w:rPr>
      </w:pPr>
      <w:r>
        <w:rPr>
          <w:sz w:val="32"/>
          <w:szCs w:val="32"/>
        </w:rPr>
        <w:t>(State and Territory Arrangements) ACT 2020</w:t>
      </w:r>
    </w:p>
    <w:p w:rsidR="00DF35A9" w:rsidP="00DF35A9" w:rsidRDefault="00DF35A9" w14:paraId="1BD9D544" w14:textId="367EE945">
      <w:pPr>
        <w:pStyle w:val="Subtitle"/>
        <w:spacing w:before="0" w:after="0" w:line="240" w:lineRule="auto"/>
        <w:jc w:val="center"/>
        <w:rPr>
          <w:sz w:val="32"/>
          <w:szCs w:val="32"/>
        </w:rPr>
      </w:pPr>
      <w:r>
        <w:rPr>
          <w:sz w:val="32"/>
          <w:szCs w:val="32"/>
        </w:rPr>
        <w:t>Guidance – government corporations</w:t>
      </w:r>
      <w:r>
        <w:rPr>
          <w:rStyle w:val="EndnoteReference"/>
          <w:sz w:val="32"/>
          <w:szCs w:val="32"/>
        </w:rPr>
        <w:endnoteReference w:id="1"/>
      </w:r>
    </w:p>
    <w:p w:rsidRPr="00194D0A" w:rsidR="00402FCB" w:rsidP="00402FCB" w:rsidRDefault="00402FCB" w14:paraId="64FCC54B" w14:textId="77777777">
      <w:pPr>
        <w:pStyle w:val="Box1Text"/>
        <w:pBdr>
          <w:top w:val="single" w:color="65C5B4" w:themeColor="accent1" w:sz="4" w:space="6"/>
          <w:bottom w:val="single" w:color="65C5B4" w:themeColor="accent1" w:sz="4" w:space="4"/>
        </w:pBdr>
        <w:spacing w:before="0" w:after="120"/>
        <w:jc w:val="both"/>
        <w:rPr>
          <w:b/>
          <w:sz w:val="18"/>
          <w:lang w:eastAsia="zh-CN"/>
        </w:rPr>
      </w:pPr>
      <w:r w:rsidRPr="00AC174C">
        <w:rPr>
          <w:b/>
          <w:i/>
          <w:iCs/>
          <w:sz w:val="22"/>
          <w:szCs w:val="25"/>
          <w:lang w:eastAsia="zh-CN"/>
        </w:rPr>
        <w:t>Aus</w:t>
      </w:r>
      <w:bookmarkStart w:name="_Hlk69199414" w:id="0"/>
      <w:r w:rsidRPr="00AC174C">
        <w:rPr>
          <w:b/>
          <w:i/>
          <w:iCs/>
          <w:sz w:val="22"/>
          <w:szCs w:val="25"/>
          <w:lang w:eastAsia="zh-CN"/>
        </w:rPr>
        <w:t>tralia’s Foreign Relations (State and Territory Arrangements) Act 2020</w:t>
      </w:r>
      <w:r w:rsidRPr="00194D0A">
        <w:rPr>
          <w:b/>
          <w:sz w:val="22"/>
          <w:szCs w:val="25"/>
          <w:lang w:eastAsia="zh-CN"/>
        </w:rPr>
        <w:t xml:space="preserve"> (the </w:t>
      </w:r>
      <w:r>
        <w:rPr>
          <w:b/>
          <w:sz w:val="22"/>
          <w:szCs w:val="25"/>
          <w:lang w:eastAsia="zh-CN"/>
        </w:rPr>
        <w:t>Act</w:t>
      </w:r>
      <w:r w:rsidRPr="00194D0A">
        <w:rPr>
          <w:b/>
          <w:sz w:val="22"/>
          <w:szCs w:val="25"/>
          <w:lang w:eastAsia="zh-CN"/>
        </w:rPr>
        <w:t>) fosters a systematic and consistent approach to foreign engagement across all levels of Australian government</w:t>
      </w:r>
      <w:r>
        <w:rPr>
          <w:b/>
          <w:sz w:val="22"/>
          <w:szCs w:val="25"/>
          <w:lang w:eastAsia="zh-CN"/>
        </w:rPr>
        <w:t xml:space="preserve">. It creates </w:t>
      </w:r>
      <w:r w:rsidRPr="00194D0A">
        <w:rPr>
          <w:b/>
          <w:sz w:val="22"/>
          <w:szCs w:val="25"/>
          <w:lang w:eastAsia="zh-CN"/>
        </w:rPr>
        <w:t xml:space="preserve">a scheme to ensure that arrangements between State or Territory governments and foreign </w:t>
      </w:r>
      <w:r>
        <w:rPr>
          <w:b/>
          <w:sz w:val="22"/>
          <w:szCs w:val="25"/>
          <w:lang w:eastAsia="zh-CN"/>
        </w:rPr>
        <w:t xml:space="preserve">government </w:t>
      </w:r>
      <w:r w:rsidRPr="00194D0A">
        <w:rPr>
          <w:b/>
          <w:sz w:val="22"/>
          <w:szCs w:val="25"/>
          <w:lang w:eastAsia="zh-CN"/>
        </w:rPr>
        <w:t xml:space="preserve">entities do not adversely affect Australia’s foreign relations and are not inconsistent with Australia’s foreign policy.  </w:t>
      </w:r>
    </w:p>
    <w:bookmarkEnd w:id="0"/>
    <w:p w:rsidRPr="00410AD6" w:rsidR="00DF35A9" w:rsidP="00DF35A9" w:rsidRDefault="00DF35A9" w14:paraId="740161D2" w14:textId="60D6BE5B">
      <w:pPr>
        <w:pStyle w:val="IntroPara"/>
        <w:spacing w:before="0" w:after="0"/>
        <w:jc w:val="center"/>
        <w:rPr>
          <w:color w:val="auto"/>
        </w:rPr>
      </w:pPr>
      <w:r w:rsidRPr="24C7B31B" w:rsidR="00DF35A9">
        <w:rPr>
          <w:color w:val="65C5B4" w:themeColor="accent1" w:themeTint="FF" w:themeShade="FF"/>
        </w:rPr>
        <w:t xml:space="preserve">This </w:t>
      </w:r>
      <w:r w:rsidRPr="24C7B31B" w:rsidR="00DF35A9">
        <w:rPr>
          <w:color w:val="65C5B4" w:themeColor="accent1" w:themeTint="FF" w:themeShade="FF"/>
        </w:rPr>
        <w:t>Guidance Note</w:t>
      </w:r>
      <w:r w:rsidRPr="24C7B31B" w:rsidR="00DF35A9">
        <w:rPr>
          <w:color w:val="65C5B4" w:themeColor="accent1" w:themeTint="FF" w:themeShade="FF"/>
        </w:rPr>
        <w:t xml:space="preserve"> should be read with ‘Fact Sheet 1</w:t>
      </w:r>
      <w:r w:rsidRPr="24C7B31B" w:rsidR="003B21C8">
        <w:rPr>
          <w:color w:val="65C5B4" w:themeColor="accent1" w:themeTint="FF" w:themeShade="FF"/>
        </w:rPr>
        <w:t xml:space="preserve"> </w:t>
      </w:r>
      <w:r w:rsidRPr="24C7B31B" w:rsidR="00DF35A9">
        <w:rPr>
          <w:color w:val="65C5B4" w:themeColor="accent1" w:themeTint="FF" w:themeShade="FF"/>
        </w:rPr>
        <w:t>–</w:t>
      </w:r>
      <w:r w:rsidRPr="24C7B31B" w:rsidR="003B21C8">
        <w:rPr>
          <w:color w:val="65C5B4" w:themeColor="accent1" w:themeTint="FF" w:themeShade="FF"/>
        </w:rPr>
        <w:t xml:space="preserve"> </w:t>
      </w:r>
      <w:r w:rsidRPr="24C7B31B" w:rsidR="00DF35A9">
        <w:rPr>
          <w:color w:val="65C5B4" w:themeColor="accent1" w:themeTint="FF" w:themeShade="FF"/>
        </w:rPr>
        <w:t>Overview’</w:t>
      </w:r>
      <w:r w:rsidRPr="24C7B31B" w:rsidR="00402FCB">
        <w:rPr>
          <w:color w:val="65C5B4" w:themeColor="accent1" w:themeTint="FF" w:themeShade="FF"/>
        </w:rPr>
        <w:t xml:space="preserve"> </w:t>
      </w:r>
    </w:p>
    <w:p w:rsidR="00DF35A9" w:rsidP="00DF35A9" w:rsidRDefault="00DF35A9" w14:paraId="74129D49" w14:textId="77777777">
      <w:pPr>
        <w:pStyle w:val="IntroPara"/>
        <w:spacing w:before="0" w:after="0" w:line="240" w:lineRule="auto"/>
        <w:jc w:val="center"/>
        <w:rPr>
          <w:color w:val="auto"/>
          <w:sz w:val="16"/>
          <w:szCs w:val="12"/>
        </w:rPr>
      </w:pPr>
    </w:p>
    <w:p w:rsidRPr="009C5035" w:rsidR="003B21C8" w:rsidP="003B21C8" w:rsidRDefault="003B21C8" w14:paraId="6B6E4DD8" w14:textId="4573FB2B">
      <w:pPr>
        <w:suppressAutoHyphens w:val="0"/>
        <w:spacing w:before="0" w:after="120" w:line="240" w:lineRule="auto"/>
      </w:pPr>
      <w:r w:rsidRPr="009C5035">
        <w:t xml:space="preserve">This </w:t>
      </w:r>
      <w:r>
        <w:t>Guidance</w:t>
      </w:r>
      <w:r w:rsidRPr="009C5035">
        <w:t xml:space="preserve"> </w:t>
      </w:r>
      <w:r>
        <w:t xml:space="preserve">Note </w:t>
      </w:r>
      <w:r w:rsidRPr="009C5035">
        <w:t>is designed to assist State</w:t>
      </w:r>
      <w:r w:rsidR="001A3B61">
        <w:t>/</w:t>
      </w:r>
      <w:r w:rsidRPr="009C5035">
        <w:t>Territory entities</w:t>
      </w:r>
      <w:r>
        <w:t xml:space="preserve"> in their consideration of </w:t>
      </w:r>
      <w:r w:rsidRPr="009C5035">
        <w:rPr>
          <w:b/>
          <w:bCs/>
        </w:rPr>
        <w:t>whether a</w:t>
      </w:r>
      <w:r w:rsidR="00DE74B2">
        <w:rPr>
          <w:b/>
          <w:bCs/>
        </w:rPr>
        <w:t>n arrangement with a</w:t>
      </w:r>
      <w:r w:rsidRPr="009C5035">
        <w:rPr>
          <w:b/>
          <w:bCs/>
        </w:rPr>
        <w:t xml:space="preserve"> </w:t>
      </w:r>
      <w:r w:rsidR="00DE74B2">
        <w:rPr>
          <w:b/>
          <w:bCs/>
        </w:rPr>
        <w:t>corporation is in scope</w:t>
      </w:r>
      <w:r w:rsidRPr="009C5035">
        <w:rPr>
          <w:b/>
          <w:bCs/>
        </w:rPr>
        <w:t xml:space="preserve"> </w:t>
      </w:r>
      <w:r>
        <w:t>under</w:t>
      </w:r>
      <w:r w:rsidRPr="009C5035">
        <w:t xml:space="preserve"> the Act. </w:t>
      </w:r>
    </w:p>
    <w:p w:rsidR="00DF35A9" w:rsidP="00DF35A9" w:rsidRDefault="00DF35A9" w14:paraId="0928FE39" w14:textId="552CEC8D">
      <w:pPr>
        <w:pStyle w:val="BoxHeading"/>
        <w:spacing w:before="0" w:after="0"/>
        <w:rPr>
          <w:sz w:val="28"/>
          <w:szCs w:val="28"/>
        </w:rPr>
      </w:pPr>
      <w:r>
        <w:rPr>
          <w:sz w:val="28"/>
          <w:szCs w:val="28"/>
        </w:rPr>
        <w:t xml:space="preserve">When does the </w:t>
      </w:r>
      <w:r w:rsidR="00402FCB">
        <w:rPr>
          <w:sz w:val="28"/>
          <w:szCs w:val="28"/>
        </w:rPr>
        <w:t xml:space="preserve">Foreign Arrangements </w:t>
      </w:r>
      <w:r w:rsidR="001A3B61">
        <w:rPr>
          <w:sz w:val="28"/>
          <w:szCs w:val="28"/>
        </w:rPr>
        <w:t>Scheme</w:t>
      </w:r>
      <w:r>
        <w:rPr>
          <w:sz w:val="28"/>
          <w:szCs w:val="28"/>
        </w:rPr>
        <w:t xml:space="preserve"> apply to corporations?</w:t>
      </w:r>
    </w:p>
    <w:p w:rsidR="00B0694C" w:rsidP="00DF35A9" w:rsidRDefault="00DF35A9" w14:paraId="76349EA5" w14:textId="7898B4B2">
      <w:pPr>
        <w:rPr>
          <w:noProof/>
        </w:rPr>
      </w:pPr>
      <w:r>
        <w:t xml:space="preserve">The Foreign Arrangements </w:t>
      </w:r>
      <w:r w:rsidR="001A3B61">
        <w:t>Scheme</w:t>
      </w:r>
      <w:r>
        <w:t xml:space="preserve"> (the </w:t>
      </w:r>
      <w:r w:rsidR="001A3B61">
        <w:t>Scheme</w:t>
      </w:r>
      <w:r>
        <w:t>) creates obligations for State</w:t>
      </w:r>
      <w:r w:rsidR="001A3B61">
        <w:t>/</w:t>
      </w:r>
      <w:r>
        <w:t xml:space="preserve">Territory entities that propose to </w:t>
      </w:r>
      <w:r w:rsidR="00FC56F4">
        <w:t xml:space="preserve">negotiate or </w:t>
      </w:r>
      <w:r>
        <w:t>enter, or</w:t>
      </w:r>
      <w:r w:rsidR="00FC56F4">
        <w:t xml:space="preserve"> have</w:t>
      </w:r>
      <w:r>
        <w:t xml:space="preserve"> enter</w:t>
      </w:r>
      <w:r w:rsidR="00FC56F4">
        <w:t>ed</w:t>
      </w:r>
      <w:r>
        <w:t xml:space="preserve">, an arrangement with a foreign entity. </w:t>
      </w:r>
      <w:r w:rsidRPr="1BA128D6" w:rsidR="00B0694C">
        <w:rPr>
          <w:noProof/>
        </w:rPr>
        <w:t xml:space="preserve">Commercial agreements between a ‘State/Territory entity’ and a ‘foreign entity’ are in scope of the Scheme. </w:t>
      </w:r>
    </w:p>
    <w:p w:rsidR="00DF35A9" w:rsidP="00DF35A9" w:rsidRDefault="00B0694C" w14:paraId="0DE8E571" w14:textId="3BA05547">
      <w:r>
        <w:t>However, t</w:t>
      </w:r>
      <w:r w:rsidR="00DF35A9">
        <w:t xml:space="preserve">he </w:t>
      </w:r>
      <w:r w:rsidR="001A3B61">
        <w:t>Scheme</w:t>
      </w:r>
      <w:r w:rsidR="00DF35A9">
        <w:t xml:space="preserve"> is not intended to regulate arrangements with </w:t>
      </w:r>
      <w:r w:rsidRPr="7B0BA12D" w:rsidR="00DF35A9">
        <w:rPr>
          <w:b/>
          <w:bCs/>
        </w:rPr>
        <w:t>purely commercial corporations</w:t>
      </w:r>
      <w:r w:rsidR="00DF35A9">
        <w:t>, including where the corporation is wholly or partly state-owned.</w:t>
      </w:r>
      <w:r>
        <w:t xml:space="preserve"> </w:t>
      </w:r>
    </w:p>
    <w:p w:rsidR="00191E86" w:rsidP="00DF35A9" w:rsidRDefault="00DF35A9" w14:paraId="193DFB75" w14:textId="77777777">
      <w:r>
        <w:t xml:space="preserve">To reflect this, corporations that </w:t>
      </w:r>
      <w:r w:rsidRPr="608B6504">
        <w:rPr>
          <w:b/>
          <w:bCs/>
        </w:rPr>
        <w:t>operate on a commercial basis</w:t>
      </w:r>
      <w:r>
        <w:t xml:space="preserve"> are excluded from the definition of ‘State/Territory entity’ and ‘foreign entity’. This means that commercial corporations are not included within the </w:t>
      </w:r>
      <w:r w:rsidR="001A3B61">
        <w:t>Scheme</w:t>
      </w:r>
      <w:r>
        <w:t>, except</w:t>
      </w:r>
      <w:r w:rsidR="00191E86">
        <w:t>:</w:t>
      </w:r>
    </w:p>
    <w:p w:rsidR="00191E86" w:rsidP="009A7A55" w:rsidRDefault="00DF35A9" w14:paraId="0128E19E" w14:textId="186422F9">
      <w:pPr>
        <w:pStyle w:val="ListParagraph"/>
        <w:numPr>
          <w:ilvl w:val="0"/>
          <w:numId w:val="38"/>
        </w:numPr>
      </w:pPr>
      <w:r>
        <w:t xml:space="preserve">where they are party to a </w:t>
      </w:r>
      <w:r w:rsidRPr="00191E86">
        <w:rPr>
          <w:b/>
          <w:bCs/>
        </w:rPr>
        <w:t>subsidiary arrangement</w:t>
      </w:r>
      <w:r>
        <w:t xml:space="preserve"> entered into under the auspices of a head arrangement between a State/Territory entity and a foreign entity</w:t>
      </w:r>
      <w:r w:rsidR="00191E86">
        <w:t xml:space="preserve">, or </w:t>
      </w:r>
    </w:p>
    <w:p w:rsidR="00DF35A9" w:rsidP="00191E86" w:rsidRDefault="00191E86" w14:paraId="3AB6DA45" w14:textId="7C3B11DA">
      <w:pPr>
        <w:pStyle w:val="ListParagraph"/>
        <w:numPr>
          <w:ilvl w:val="0"/>
          <w:numId w:val="38"/>
        </w:numPr>
      </w:pPr>
      <w:r>
        <w:t>are a third party to an arrangement between entities within scope of the Scheme</w:t>
      </w:r>
      <w:r w:rsidR="00DF35A9">
        <w:t>.</w:t>
      </w:r>
    </w:p>
    <w:p w:rsidR="00DF35A9" w:rsidP="00DF35A9" w:rsidRDefault="00DF35A9" w14:paraId="13E06814" w14:textId="6B1FBAEE">
      <w:r>
        <w:t xml:space="preserve">However, corporations that </w:t>
      </w:r>
      <w:r>
        <w:rPr>
          <w:b/>
          <w:bCs/>
        </w:rPr>
        <w:t xml:space="preserve">do not operate on a commercial basis </w:t>
      </w:r>
      <w:r>
        <w:t xml:space="preserve">are within the scope of the </w:t>
      </w:r>
      <w:r w:rsidR="001A3B61">
        <w:t>Scheme</w:t>
      </w:r>
      <w:r>
        <w:t xml:space="preserve"> where they fall within the definition of ‘State/Territory entity’ or ‘foreign entity’ (for example, because the corporation is an </w:t>
      </w:r>
      <w:r w:rsidRPr="000F6710">
        <w:rPr>
          <w:b/>
          <w:bCs/>
        </w:rPr>
        <w:t>agency</w:t>
      </w:r>
      <w:r>
        <w:t xml:space="preserve"> of a State/Territory or foreign government). Whether a State/Territory or foreign corporation is captured by the </w:t>
      </w:r>
      <w:r w:rsidR="001A3B61">
        <w:t>Scheme</w:t>
      </w:r>
      <w:r>
        <w:t xml:space="preserve"> will need to be determined on a </w:t>
      </w:r>
      <w:r w:rsidRPr="00334E20">
        <w:rPr>
          <w:b/>
          <w:bCs/>
        </w:rPr>
        <w:t>case-by-case</w:t>
      </w:r>
      <w:r>
        <w:t xml:space="preserve"> basis. </w:t>
      </w:r>
    </w:p>
    <w:p w:rsidR="00DF35A9" w:rsidP="00DF35A9" w:rsidRDefault="00DF35A9" w14:paraId="23058708" w14:textId="77777777">
      <w:pPr>
        <w:pStyle w:val="BoxHeading"/>
        <w:spacing w:before="120" w:after="0"/>
        <w:rPr>
          <w:sz w:val="28"/>
          <w:szCs w:val="28"/>
        </w:rPr>
      </w:pPr>
      <w:r>
        <w:rPr>
          <w:sz w:val="28"/>
          <w:szCs w:val="28"/>
        </w:rPr>
        <w:t>What factors are relevant to determining whether a corporation is in scope?</w:t>
      </w:r>
    </w:p>
    <w:p w:rsidR="00DF35A9" w:rsidP="00DF35A9" w:rsidRDefault="00DF35A9" w14:paraId="261A077D" w14:textId="037075C1">
      <w:r>
        <w:t xml:space="preserve">A government-controlled or owned corporation is likely to be </w:t>
      </w:r>
      <w:r w:rsidRPr="006C6B94">
        <w:rPr>
          <w:bCs/>
        </w:rPr>
        <w:t>within scope</w:t>
      </w:r>
      <w:r w:rsidRPr="001C0CB8">
        <w:t xml:space="preserve"> of</w:t>
      </w:r>
      <w:r>
        <w:t xml:space="preserve"> the </w:t>
      </w:r>
      <w:r w:rsidR="001A3B61">
        <w:t>Scheme</w:t>
      </w:r>
      <w:r>
        <w:t xml:space="preserve"> where its operations predominantly involve goods, services or activities that are provided or conducted:</w:t>
      </w:r>
    </w:p>
    <w:p w:rsidR="00DF35A9" w:rsidP="00DF35A9" w:rsidRDefault="00DF35A9" w14:paraId="4F9E081F" w14:textId="77777777">
      <w:pPr>
        <w:pStyle w:val="ListParagraph"/>
        <w:numPr>
          <w:ilvl w:val="0"/>
          <w:numId w:val="36"/>
        </w:numPr>
        <w:ind w:left="714" w:hanging="357"/>
        <w:contextualSpacing w:val="0"/>
      </w:pPr>
      <w:r w:rsidRPr="0025091C">
        <w:rPr>
          <w:b/>
          <w:bCs/>
        </w:rPr>
        <w:t>gratuitously</w:t>
      </w:r>
      <w:r>
        <w:t xml:space="preserve"> or not with a view to generating revenue or </w:t>
      </w:r>
      <w:proofErr w:type="gramStart"/>
      <w:r>
        <w:t>profit;</w:t>
      </w:r>
      <w:proofErr w:type="gramEnd"/>
    </w:p>
    <w:p w:rsidR="00DF35A9" w:rsidP="00DF35A9" w:rsidRDefault="00DF35A9" w14:paraId="7CAA7290" w14:textId="77777777">
      <w:pPr>
        <w:pStyle w:val="ListParagraph"/>
        <w:numPr>
          <w:ilvl w:val="0"/>
          <w:numId w:val="36"/>
        </w:numPr>
        <w:ind w:left="714" w:hanging="357"/>
        <w:contextualSpacing w:val="0"/>
      </w:pPr>
      <w:r>
        <w:t xml:space="preserve">not generally pursuant to a </w:t>
      </w:r>
      <w:r w:rsidRPr="006C6B94">
        <w:rPr>
          <w:b/>
          <w:bCs/>
        </w:rPr>
        <w:t>commercial</w:t>
      </w:r>
      <w:r>
        <w:t xml:space="preserve"> </w:t>
      </w:r>
      <w:r w:rsidRPr="0025091C">
        <w:rPr>
          <w:b/>
          <w:bCs/>
        </w:rPr>
        <w:t xml:space="preserve">contract or </w:t>
      </w:r>
      <w:proofErr w:type="gramStart"/>
      <w:r w:rsidRPr="0025091C">
        <w:rPr>
          <w:b/>
          <w:bCs/>
        </w:rPr>
        <w:t>agreement</w:t>
      </w:r>
      <w:r>
        <w:rPr>
          <w:b/>
          <w:bCs/>
        </w:rPr>
        <w:t>;</w:t>
      </w:r>
      <w:proofErr w:type="gramEnd"/>
    </w:p>
    <w:p w:rsidR="00DF35A9" w:rsidP="00DF35A9" w:rsidRDefault="00DF35A9" w14:paraId="31F9EE55" w14:textId="77777777">
      <w:pPr>
        <w:pStyle w:val="ListParagraph"/>
        <w:numPr>
          <w:ilvl w:val="0"/>
          <w:numId w:val="36"/>
        </w:numPr>
        <w:ind w:left="714" w:hanging="357"/>
        <w:contextualSpacing w:val="0"/>
      </w:pPr>
      <w:r>
        <w:t xml:space="preserve">with the support of funding from </w:t>
      </w:r>
      <w:r w:rsidRPr="0025091C">
        <w:rPr>
          <w:b/>
          <w:bCs/>
        </w:rPr>
        <w:t>consolidated revenue</w:t>
      </w:r>
      <w:r>
        <w:t>; and/or</w:t>
      </w:r>
    </w:p>
    <w:p w:rsidR="00DF35A9" w:rsidP="00DF35A9" w:rsidRDefault="00DF35A9" w14:paraId="5C38FBA2" w14:textId="77777777">
      <w:pPr>
        <w:pStyle w:val="ListParagraph"/>
        <w:numPr>
          <w:ilvl w:val="0"/>
          <w:numId w:val="36"/>
        </w:numPr>
        <w:ind w:left="714" w:hanging="357"/>
        <w:contextualSpacing w:val="0"/>
      </w:pPr>
      <w:r>
        <w:t xml:space="preserve">with the purpose of fulfilling </w:t>
      </w:r>
      <w:r w:rsidRPr="0025091C">
        <w:rPr>
          <w:b/>
          <w:bCs/>
        </w:rPr>
        <w:t>statutory functions</w:t>
      </w:r>
      <w:r>
        <w:t xml:space="preserve"> or to pursue objectives which are not of a commercial character but are, instead, </w:t>
      </w:r>
      <w:r w:rsidRPr="0025091C">
        <w:rPr>
          <w:b/>
          <w:bCs/>
        </w:rPr>
        <w:t xml:space="preserve">predominantly </w:t>
      </w:r>
      <w:proofErr w:type="gramStart"/>
      <w:r w:rsidRPr="0025091C">
        <w:rPr>
          <w:b/>
          <w:bCs/>
        </w:rPr>
        <w:t>political</w:t>
      </w:r>
      <w:proofErr w:type="gramEnd"/>
      <w:r w:rsidRPr="0025091C">
        <w:rPr>
          <w:b/>
          <w:bCs/>
        </w:rPr>
        <w:t xml:space="preserve"> or governmental</w:t>
      </w:r>
      <w:r>
        <w:t>.</w:t>
      </w:r>
    </w:p>
    <w:p w:rsidR="00DF35A9" w:rsidP="00DF35A9" w:rsidRDefault="00DF35A9" w14:paraId="111A5E01" w14:textId="77777777">
      <w:r>
        <w:t xml:space="preserve">These factors should be considered </w:t>
      </w:r>
      <w:r w:rsidRPr="0025091C">
        <w:rPr>
          <w:b/>
          <w:bCs/>
        </w:rPr>
        <w:t>holistically</w:t>
      </w:r>
      <w:r>
        <w:rPr>
          <w:b/>
          <w:bCs/>
        </w:rPr>
        <w:t xml:space="preserve">. </w:t>
      </w:r>
      <w:r w:rsidRPr="006C6B94">
        <w:rPr>
          <w:bCs/>
        </w:rPr>
        <w:t>N</w:t>
      </w:r>
      <w:r>
        <w:t xml:space="preserve">one of the factors will, on its own, be determinative. Further, these factors are not exhaustive. Each corporate entity will need to be </w:t>
      </w:r>
      <w:r w:rsidRPr="00D663B0">
        <w:rPr>
          <w:b/>
          <w:bCs/>
        </w:rPr>
        <w:t>assessed on a case-by-case basis</w:t>
      </w:r>
      <w:r>
        <w:t>, having regard to its individual circumstances.</w:t>
      </w:r>
    </w:p>
    <w:p w:rsidR="044E86E3" w:rsidP="7B0BA12D" w:rsidRDefault="00DF35A9" w14:paraId="7D931A3C" w14:textId="6620D1F1">
      <w:r>
        <w:lastRenderedPageBreak/>
        <w:t xml:space="preserve">State/Territory entities are </w:t>
      </w:r>
      <w:r w:rsidRPr="7B0BA12D">
        <w:rPr>
          <w:b/>
          <w:bCs/>
        </w:rPr>
        <w:t>best placed</w:t>
      </w:r>
      <w:r>
        <w:t xml:space="preserve"> to </w:t>
      </w:r>
      <w:r w:rsidR="54587082">
        <w:t>assess</w:t>
      </w:r>
      <w:r>
        <w:t xml:space="preserve"> whether a State/Territory entity or foreign entity is within scope, as they have awareness of the nature of their own operations and the operations of their foreign partners. </w:t>
      </w:r>
    </w:p>
    <w:p w:rsidRPr="006C6B94" w:rsidR="00DF35A9" w:rsidP="00DF35A9" w:rsidRDefault="00DF35A9" w14:paraId="60EACCF6" w14:textId="6D3350D7">
      <w:pPr>
        <w:pStyle w:val="BoxHeading"/>
        <w:spacing w:before="120" w:after="0"/>
        <w:rPr>
          <w:sz w:val="28"/>
          <w:szCs w:val="28"/>
        </w:rPr>
      </w:pPr>
      <w:r>
        <w:rPr>
          <w:sz w:val="28"/>
          <w:szCs w:val="28"/>
        </w:rPr>
        <w:t xml:space="preserve">How should these factors be used to </w:t>
      </w:r>
      <w:r w:rsidR="001F0968">
        <w:rPr>
          <w:sz w:val="28"/>
          <w:szCs w:val="28"/>
        </w:rPr>
        <w:t>distinguish</w:t>
      </w:r>
      <w:r>
        <w:rPr>
          <w:sz w:val="28"/>
          <w:szCs w:val="28"/>
        </w:rPr>
        <w:t xml:space="preserve"> </w:t>
      </w:r>
      <w:r w:rsidRPr="00D351D7">
        <w:rPr>
          <w:sz w:val="28"/>
          <w:szCs w:val="28"/>
        </w:rPr>
        <w:t>a</w:t>
      </w:r>
      <w:r w:rsidRPr="00D351D7" w:rsidR="001F0968">
        <w:rPr>
          <w:sz w:val="28"/>
          <w:szCs w:val="28"/>
        </w:rPr>
        <w:t xml:space="preserve"> commercial</w:t>
      </w:r>
      <w:r w:rsidRPr="00D351D7">
        <w:rPr>
          <w:sz w:val="28"/>
          <w:szCs w:val="28"/>
        </w:rPr>
        <w:t xml:space="preserve"> corporation</w:t>
      </w:r>
      <w:r>
        <w:rPr>
          <w:sz w:val="28"/>
          <w:szCs w:val="28"/>
        </w:rPr>
        <w:t>?</w:t>
      </w:r>
    </w:p>
    <w:p w:rsidR="00DF35A9" w:rsidP="00DF35A9" w:rsidRDefault="00DF35A9" w14:paraId="2AC5E8CA" w14:textId="77777777">
      <w:r w:rsidRPr="0025091C">
        <w:rPr>
          <w:b/>
          <w:bCs/>
        </w:rPr>
        <w:t>Key factors</w:t>
      </w:r>
      <w:r w:rsidRPr="00BC33C7">
        <w:t xml:space="preserve"> to consider </w:t>
      </w:r>
      <w:r>
        <w:t>include</w:t>
      </w:r>
      <w:r w:rsidRPr="00BC33C7">
        <w:t xml:space="preserve"> the financing of an entity, whether </w:t>
      </w:r>
      <w:r>
        <w:t>the entity’s</w:t>
      </w:r>
      <w:r w:rsidRPr="00BC33C7">
        <w:t xml:space="preserve"> operations occur gratuitously and whether the entity’s operations are political or governmental in character. </w:t>
      </w:r>
    </w:p>
    <w:p w:rsidR="00DF35A9" w:rsidP="00DF35A9" w:rsidRDefault="00DF35A9" w14:paraId="058044AF" w14:textId="3C12B996">
      <w:pPr>
        <w:pStyle w:val="ListParagraph"/>
        <w:numPr>
          <w:ilvl w:val="0"/>
          <w:numId w:val="35"/>
        </w:numPr>
        <w:ind w:left="714" w:hanging="357"/>
        <w:contextualSpacing w:val="0"/>
        <w:rPr/>
      </w:pPr>
      <w:r w:rsidR="00DF35A9">
        <w:rPr/>
        <w:t xml:space="preserve">Where a corporation conducts its operations gratuitously, it is more likely that the corporation’s operations are not commercial. However, there is a difference between operating gratuitously and operating commercially but without making a profit. </w:t>
      </w:r>
      <w:r w:rsidR="00DF35A9">
        <w:rPr/>
        <w:t xml:space="preserve">A corporation that fails to make a profit, but does not operate gratuitously, </w:t>
      </w:r>
      <w:r w:rsidR="00DF35A9">
        <w:rPr/>
        <w:t>may be</w:t>
      </w:r>
      <w:r w:rsidR="00DF35A9">
        <w:rPr/>
        <w:t xml:space="preserve"> within </w:t>
      </w:r>
      <w:r w:rsidR="4EB5B2ED">
        <w:rPr/>
        <w:t xml:space="preserve">scope of </w:t>
      </w:r>
      <w:r w:rsidR="00DF35A9">
        <w:rPr/>
        <w:t xml:space="preserve">the </w:t>
      </w:r>
      <w:r w:rsidR="001A3B61">
        <w:rPr/>
        <w:t>Scheme</w:t>
      </w:r>
      <w:r w:rsidR="00DF35A9">
        <w:rPr/>
        <w:t xml:space="preserve">. </w:t>
      </w:r>
    </w:p>
    <w:p w:rsidR="00DF35A9" w:rsidP="00DF35A9" w:rsidRDefault="00DF35A9" w14:paraId="24D7A300" w14:textId="77777777">
      <w:pPr>
        <w:pStyle w:val="ListParagraph"/>
        <w:numPr>
          <w:ilvl w:val="0"/>
          <w:numId w:val="35"/>
        </w:numPr>
        <w:ind w:left="714" w:hanging="357"/>
        <w:contextualSpacing w:val="0"/>
      </w:pPr>
      <w:r>
        <w:t xml:space="preserve">Where a corporation’s operations are not generally undertaken pursuant to a commercial contract or agreement, it is more likely that the corporation’s operations are not commercial. Where a corporation may be capable of entering a commercial contract, or may do so on an ad hoc basis, this is not sufficient to demonstrate that it operates on a commercial basis. </w:t>
      </w:r>
    </w:p>
    <w:p w:rsidR="00DF35A9" w:rsidP="00DF35A9" w:rsidRDefault="00DF35A9" w14:paraId="7F94FE07" w14:textId="77777777">
      <w:pPr>
        <w:pStyle w:val="ListParagraph"/>
        <w:numPr>
          <w:ilvl w:val="0"/>
          <w:numId w:val="35"/>
        </w:numPr>
        <w:ind w:left="714" w:hanging="357"/>
        <w:contextualSpacing w:val="0"/>
      </w:pPr>
      <w:r>
        <w:t xml:space="preserve">Where a corporation is </w:t>
      </w:r>
      <w:r w:rsidRPr="006C6B94">
        <w:t>financed by a State/Territory or foreign government</w:t>
      </w:r>
      <w:r>
        <w:t>, it is more likely that the corporation’s operations are not commercial. The ordinary meaning of ‘</w:t>
      </w:r>
      <w:r w:rsidRPr="006C6B94">
        <w:t>commercial</w:t>
      </w:r>
      <w:r>
        <w:t xml:space="preserve">’ is that there is an exchange of goods, </w:t>
      </w:r>
      <w:proofErr w:type="gramStart"/>
      <w:r>
        <w:t>commodities</w:t>
      </w:r>
      <w:proofErr w:type="gramEnd"/>
      <w:r>
        <w:t xml:space="preserve"> or services, generally in return for monetary or other reward. </w:t>
      </w:r>
    </w:p>
    <w:p w:rsidR="00DF35A9" w:rsidP="00DF35A9" w:rsidRDefault="00DF35A9" w14:paraId="11E25A3E" w14:textId="77777777">
      <w:pPr>
        <w:pStyle w:val="ListParagraph"/>
        <w:numPr>
          <w:ilvl w:val="0"/>
          <w:numId w:val="35"/>
        </w:numPr>
        <w:ind w:left="714" w:hanging="357"/>
        <w:contextualSpacing w:val="0"/>
      </w:pPr>
      <w:r>
        <w:t xml:space="preserve">Where a corporation’s operations appear to be intended to promote, or to contribute to, </w:t>
      </w:r>
      <w:r w:rsidRPr="006C6B94">
        <w:t>public debate</w:t>
      </w:r>
      <w:r>
        <w:t xml:space="preserve"> concerning a current or proposed law or </w:t>
      </w:r>
      <w:r w:rsidRPr="006C6B94">
        <w:t>government policy</w:t>
      </w:r>
      <w:r>
        <w:t xml:space="preserve">, or another issue of general concern to the community, it is more likely that the corporation’s operations are not commercial. This is particularly the case where the corporation’s </w:t>
      </w:r>
      <w:r w:rsidRPr="006C6B94">
        <w:t xml:space="preserve">duties, powers and objects are stipulated by </w:t>
      </w:r>
      <w:r>
        <w:t xml:space="preserve">law or otherwise relate to </w:t>
      </w:r>
      <w:r w:rsidRPr="006C6B94">
        <w:t>matters of policy</w:t>
      </w:r>
      <w:r>
        <w:t xml:space="preserve">. For example, where a corporation’s purpose is to enforce a law or pursue government policy, the corporation is likely to be in scope. </w:t>
      </w:r>
    </w:p>
    <w:p w:rsidRPr="000371FE" w:rsidR="00DF35A9" w:rsidP="00DF35A9" w:rsidRDefault="00DF35A9" w14:paraId="33ACAE34" w14:textId="79E4528D">
      <w:r w:rsidRPr="000371FE">
        <w:t>In contrast</w:t>
      </w:r>
      <w:r w:rsidR="003B21C8">
        <w:t>,</w:t>
      </w:r>
      <w:r w:rsidRPr="000371FE">
        <w:t xml:space="preserve"> where the functions and activities performed by </w:t>
      </w:r>
      <w:r>
        <w:t>a</w:t>
      </w:r>
      <w:r w:rsidR="001F0968">
        <w:t xml:space="preserve"> </w:t>
      </w:r>
      <w:r>
        <w:t>corporation</w:t>
      </w:r>
      <w:r w:rsidRPr="000371FE">
        <w:t xml:space="preserve"> are ones that can</w:t>
      </w:r>
      <w:r>
        <w:t xml:space="preserve"> be,</w:t>
      </w:r>
      <w:r w:rsidRPr="000371FE">
        <w:t xml:space="preserve"> and are</w:t>
      </w:r>
      <w:r>
        <w:t>,</w:t>
      </w:r>
      <w:r w:rsidRPr="000371FE">
        <w:t xml:space="preserve"> performed by </w:t>
      </w:r>
      <w:r w:rsidRPr="0025091C">
        <w:rPr>
          <w:b/>
          <w:bCs/>
        </w:rPr>
        <w:t>private entities engaged in a business</w:t>
      </w:r>
      <w:r w:rsidRPr="000371FE">
        <w:t xml:space="preserve">, this will tend to indicate that the </w:t>
      </w:r>
      <w:r>
        <w:t>corporation</w:t>
      </w:r>
      <w:r w:rsidRPr="000371FE">
        <w:t xml:space="preserve"> </w:t>
      </w:r>
      <w:r>
        <w:rPr>
          <w:b/>
          <w:bCs/>
        </w:rPr>
        <w:t>is not within scope</w:t>
      </w:r>
      <w:r w:rsidRPr="000371FE">
        <w:t>.</w:t>
      </w:r>
      <w:r>
        <w:t xml:space="preserve"> </w:t>
      </w:r>
    </w:p>
    <w:p w:rsidR="00DF35A9" w:rsidP="00DF35A9" w:rsidRDefault="00DF35A9" w14:paraId="02A3C4C8" w14:textId="7CB55C2B">
      <w:pPr>
        <w:pStyle w:val="BoxHeading"/>
        <w:spacing w:before="120" w:after="0"/>
        <w:rPr>
          <w:sz w:val="28"/>
          <w:szCs w:val="28"/>
        </w:rPr>
      </w:pPr>
      <w:r>
        <w:rPr>
          <w:sz w:val="28"/>
          <w:szCs w:val="28"/>
        </w:rPr>
        <w:t xml:space="preserve">How will entities comply with obligations under the </w:t>
      </w:r>
      <w:r w:rsidR="001A3B61">
        <w:rPr>
          <w:sz w:val="28"/>
          <w:szCs w:val="28"/>
        </w:rPr>
        <w:t>Scheme</w:t>
      </w:r>
      <w:r>
        <w:rPr>
          <w:sz w:val="28"/>
          <w:szCs w:val="28"/>
        </w:rPr>
        <w:t>?</w:t>
      </w:r>
    </w:p>
    <w:p w:rsidR="00DF35A9" w:rsidP="00DF35A9" w:rsidRDefault="00DF35A9" w14:paraId="5FC0CF7F" w14:textId="0CD9AE5A">
      <w:pPr>
        <w:rPr>
          <w:rStyle w:val="Hyperlink"/>
        </w:rPr>
      </w:pPr>
      <w:r>
        <w:t>State</w:t>
      </w:r>
      <w:r w:rsidR="001A3B61">
        <w:t>/</w:t>
      </w:r>
      <w:r>
        <w:t xml:space="preserve">Territory entities must notify the Minister of foreign arrangements within scope of the </w:t>
      </w:r>
      <w:r w:rsidR="001A3B61">
        <w:t>Scheme</w:t>
      </w:r>
      <w:r>
        <w:t xml:space="preserve"> through the online portal</w:t>
      </w:r>
      <w:r w:rsidRPr="001A3B61">
        <w:rPr>
          <w:color w:val="495965" w:themeColor="text2"/>
        </w:rPr>
        <w:t xml:space="preserve">: </w:t>
      </w:r>
      <w:hyperlink w:history="1" r:id="rId14">
        <w:r w:rsidRPr="001A3B61">
          <w:rPr>
            <w:rStyle w:val="Hyperlink"/>
            <w:color w:val="495965" w:themeColor="text2"/>
          </w:rPr>
          <w:t>www.foreignarrangements.gov.au</w:t>
        </w:r>
      </w:hyperlink>
      <w:r w:rsidRPr="001A3B61">
        <w:rPr>
          <w:rStyle w:val="Hyperlink"/>
          <w:color w:val="495965" w:themeColor="text2"/>
        </w:rPr>
        <w:t xml:space="preserve">. </w:t>
      </w:r>
    </w:p>
    <w:p w:rsidR="00DF35A9" w:rsidP="00DF35A9" w:rsidRDefault="00DF35A9" w14:paraId="02E526BD" w14:textId="11B85066">
      <w:pPr>
        <w:pStyle w:val="Bullet1"/>
        <w:numPr>
          <w:ilvl w:val="0"/>
          <w:numId w:val="0"/>
        </w:numPr>
      </w:pPr>
      <w:r>
        <w:t xml:space="preserve">Corporations that </w:t>
      </w:r>
      <w:proofErr w:type="gramStart"/>
      <w:r w:rsidR="001F0968">
        <w:t xml:space="preserve">are </w:t>
      </w:r>
      <w:r>
        <w:t>considered to be</w:t>
      </w:r>
      <w:proofErr w:type="gramEnd"/>
      <w:r>
        <w:t xml:space="preserve"> agencies of a State/Territory entity or foreign government are </w:t>
      </w:r>
      <w:r w:rsidRPr="155C7730">
        <w:rPr>
          <w:b/>
          <w:bCs/>
        </w:rPr>
        <w:t>core entities</w:t>
      </w:r>
      <w:r>
        <w:t xml:space="preserve"> for the purposes of the Act. </w:t>
      </w:r>
    </w:p>
    <w:p w:rsidR="00DF35A9" w:rsidP="00DF35A9" w:rsidRDefault="00DF35A9" w14:paraId="2C0BE4D9" w14:textId="1549FD28">
      <w:r>
        <w:t xml:space="preserve">Where both the foreign entity and the State/Territory entity are core entities, the arrangement must be notified as a </w:t>
      </w:r>
      <w:r w:rsidRPr="00AD6586">
        <w:rPr>
          <w:b/>
          <w:bCs/>
        </w:rPr>
        <w:t>core arrangement</w:t>
      </w:r>
      <w:r>
        <w:t xml:space="preserve">. If either entity is a </w:t>
      </w:r>
      <w:r w:rsidRPr="00BC33C7">
        <w:rPr>
          <w:b/>
          <w:bCs/>
        </w:rPr>
        <w:t>non-core</w:t>
      </w:r>
      <w:r>
        <w:t xml:space="preserve"> entity, the arrangement is a </w:t>
      </w:r>
      <w:r w:rsidRPr="00075EF6">
        <w:rPr>
          <w:b/>
          <w:bCs/>
        </w:rPr>
        <w:t>non-core arrangement</w:t>
      </w:r>
      <w:r>
        <w:t>.</w:t>
      </w:r>
    </w:p>
    <w:p w:rsidR="00DF35A9" w:rsidP="00DF35A9" w:rsidRDefault="003B21C8" w14:paraId="3AC32BFE" w14:textId="5281ADAA">
      <w:r>
        <w:t xml:space="preserve">The requirement to notify the Minister </w:t>
      </w:r>
      <w:r w:rsidR="00DF35A9">
        <w:t xml:space="preserve">of a </w:t>
      </w:r>
      <w:r w:rsidRPr="001A3B61" w:rsidR="00DF35A9">
        <w:rPr>
          <w:u w:val="single"/>
        </w:rPr>
        <w:t>proposal to negotiate or enter</w:t>
      </w:r>
      <w:r w:rsidR="00DF35A9">
        <w:t xml:space="preserve"> a core foreign arrangement</w:t>
      </w:r>
      <w:r>
        <w:t xml:space="preserve"> commenced on 10 March 2021</w:t>
      </w:r>
      <w:r w:rsidR="00DF35A9">
        <w:t>.</w:t>
      </w:r>
      <w:r>
        <w:t xml:space="preserve"> </w:t>
      </w:r>
      <w:r w:rsidR="00DF35A9">
        <w:t xml:space="preserve">The Minister must also be notified of a </w:t>
      </w:r>
      <w:r w:rsidRPr="001A3B61" w:rsidR="00DF35A9">
        <w:rPr>
          <w:u w:val="single"/>
        </w:rPr>
        <w:t>proposal to enter</w:t>
      </w:r>
      <w:r w:rsidR="00DF35A9">
        <w:t xml:space="preserve"> a non-core foreign arrangement. For both core and non-core arrangements, the Minister must be notified</w:t>
      </w:r>
      <w:r>
        <w:t xml:space="preserve"> within 14 days of the arrangement being </w:t>
      </w:r>
      <w:proofErr w:type="gramStart"/>
      <w:r>
        <w:t>entered into</w:t>
      </w:r>
      <w:proofErr w:type="gramEnd"/>
      <w:r>
        <w:t>.</w:t>
      </w:r>
      <w:r w:rsidR="00DF35A9">
        <w:t xml:space="preserve"> </w:t>
      </w:r>
    </w:p>
    <w:p w:rsidR="00191E86" w:rsidP="00DF35A9" w:rsidRDefault="00191E86" w14:paraId="53F02D32" w14:textId="4002BA38"/>
    <w:p w:rsidR="00191E86" w:rsidP="00DF35A9" w:rsidRDefault="00191E86" w14:paraId="43AED521" w14:textId="5FA5B1E6"/>
    <w:p w:rsidR="00191E86" w:rsidP="00DF35A9" w:rsidRDefault="00191E86" w14:paraId="72A6B46B" w14:textId="77777777"/>
    <w:p w:rsidR="00DF35A9" w:rsidP="00DF35A9" w:rsidRDefault="00DF35A9" w14:paraId="6C7B83CA" w14:textId="77777777">
      <w:pPr>
        <w:pStyle w:val="BoxHeading"/>
        <w:spacing w:before="120" w:after="0"/>
        <w:rPr>
          <w:sz w:val="28"/>
          <w:szCs w:val="28"/>
        </w:rPr>
      </w:pPr>
      <w:bookmarkStart w:name="_Hlk69218263" w:id="6"/>
      <w:r>
        <w:rPr>
          <w:sz w:val="28"/>
          <w:szCs w:val="28"/>
        </w:rPr>
        <w:lastRenderedPageBreak/>
        <w:t>Where can I get further information?</w:t>
      </w:r>
    </w:p>
    <w:p w:rsidRPr="00AD6586" w:rsidR="003B21C8" w:rsidRDefault="00191E86" w14:paraId="0B963B34" w14:textId="69F5C9C2">
      <w:pPr>
        <w:rPr>
          <w:rFonts w:cs="MuseoSans-500"/>
          <w:color w:val="auto"/>
          <w:u w:val="single" w:color="0070C0"/>
        </w:rPr>
      </w:pPr>
      <w:r>
        <w:t>If State/Territory entities remain unsure about whether an arrangement is within scope of the Scheme, they are encouraged to contact the Foreign Arrangements Taskforce for further guidance at foreignarrangements@dfat.gov.au.</w:t>
      </w:r>
      <w:r w:rsidDel="00191E86">
        <w:t xml:space="preserve"> </w:t>
      </w:r>
      <w:bookmarkEnd w:id="6"/>
    </w:p>
    <w:sectPr w:rsidRPr="00AD6586" w:rsidR="003B21C8" w:rsidSect="00AD6586">
      <w:headerReference w:type="default" r:id="rId15"/>
      <w:headerReference w:type="first" r:id="rId16"/>
      <w:pgSz w:w="11906" w:h="16838" w:orient="portrait" w:code="9"/>
      <w:pgMar w:top="1276" w:right="1134" w:bottom="1276" w:left="1134" w:header="425" w:footer="567" w:gutter="0"/>
      <w:cols w:space="397"/>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0AD6" w:rsidP="00D37B04" w:rsidRDefault="00410AD6" w14:paraId="4F7C475F" w14:textId="77777777">
      <w:r>
        <w:separator/>
      </w:r>
    </w:p>
  </w:endnote>
  <w:endnote w:type="continuationSeparator" w:id="0">
    <w:p w:rsidR="00410AD6" w:rsidP="00D37B04" w:rsidRDefault="00410AD6" w14:paraId="1A6234D0" w14:textId="77777777">
      <w:r>
        <w:continuationSeparator/>
      </w:r>
    </w:p>
  </w:endnote>
  <w:endnote w:id="1">
    <w:p w:rsidR="00DF35A9" w:rsidP="00DF35A9" w:rsidRDefault="00DF35A9" w14:paraId="67249937" w14:textId="2F17DA2A">
      <w:pPr>
        <w:pStyle w:val="EndnoteText"/>
        <w:rPr>
          <w:lang w:val="en-AU"/>
        </w:rPr>
      </w:pPr>
      <w:r>
        <w:rPr>
          <w:rStyle w:val="EndnoteReference"/>
        </w:rPr>
        <w:endnoteRef/>
      </w:r>
      <w:r>
        <w:t xml:space="preserve"> </w:t>
      </w:r>
      <w:r>
        <w:rPr>
          <w:sz w:val="18"/>
          <w:szCs w:val="18"/>
        </w:rPr>
        <w:t xml:space="preserve">* </w:t>
      </w:r>
      <w:r>
        <w:rPr>
          <w:sz w:val="17"/>
          <w:szCs w:val="17"/>
        </w:rPr>
        <w:t>This</w:t>
      </w:r>
      <w:r w:rsidR="003B21C8">
        <w:rPr>
          <w:sz w:val="17"/>
          <w:szCs w:val="17"/>
        </w:rPr>
        <w:t xml:space="preserve"> GUIDANCE</w:t>
      </w:r>
      <w:r>
        <w:rPr>
          <w:sz w:val="17"/>
          <w:szCs w:val="17"/>
        </w:rPr>
        <w:t xml:space="preserve"> sets out some of the requirements of the </w:t>
      </w:r>
      <w:r w:rsidRPr="001A3B61">
        <w:rPr>
          <w:i/>
          <w:iCs/>
          <w:sz w:val="17"/>
          <w:szCs w:val="17"/>
        </w:rPr>
        <w:t>Australia’s Foreign Relations (State and Territory Arrangements) Act 2020</w:t>
      </w:r>
      <w:r>
        <w:rPr>
          <w:sz w:val="17"/>
          <w:szCs w:val="17"/>
        </w:rPr>
        <w:t>. It is not intended to be comprehensive and should not be relied on as a definitive interpretation of the Act. It is also not intended as legal advice. Readers should rely on the substantive provisions of the Act as enacted by Parliament, and any applicable rules, in assessing their obligations and seek independent legal advice.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Pr="008C5A0E" w:rsidR="00410AD6" w:rsidP="00D37B04" w:rsidRDefault="00410AD6" w14:paraId="3CA39DCC" w14:textId="77777777">
      <w:pPr>
        <w:pStyle w:val="Footer"/>
      </w:pPr>
    </w:p>
  </w:footnote>
  <w:footnote w:type="continuationSeparator" w:id="0">
    <w:p w:rsidR="00410AD6" w:rsidP="00D37B04" w:rsidRDefault="00410AD6" w14:paraId="76D398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0854FD" w:rsidR="002D5B25" w:rsidP="002D5B25" w:rsidRDefault="002D5B25" w14:paraId="7F9FF36C" w14:textId="77777777">
    <w:pPr>
      <w:pStyle w:val="Header"/>
    </w:pPr>
    <w:r w:rsidRPr="00943730">
      <w:rPr>
        <w:noProof/>
        <w:color w:val="2B579A"/>
        <w:shd w:val="clear" w:color="auto" w:fill="E6E6E6"/>
        <w:lang w:val="en-AU" w:eastAsia="en-AU"/>
      </w:rPr>
      <w:drawing>
        <wp:anchor distT="0" distB="0" distL="114300" distR="114300" simplePos="0" relativeHeight="251662336" behindDoc="1" locked="1" layoutInCell="1" allowOverlap="1" wp14:anchorId="61F8794A" wp14:editId="1451F011">
          <wp:simplePos x="0" y="0"/>
          <wp:positionH relativeFrom="page">
            <wp:posOffset>12700</wp:posOffset>
          </wp:positionH>
          <wp:positionV relativeFrom="page">
            <wp:posOffset>0</wp:posOffset>
          </wp:positionV>
          <wp:extent cx="7559675" cy="10692765"/>
          <wp:effectExtent l="0" t="0" r="3175" b="0"/>
          <wp:wrapNone/>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D5B25" w:rsidP="002D5B25" w:rsidRDefault="002D5B25" w14:paraId="5D53CD33" w14:textId="77777777">
    <w:pPr>
      <w:pStyle w:val="Header"/>
    </w:pPr>
  </w:p>
  <w:p w:rsidRPr="00943730" w:rsidR="00D37B04" w:rsidP="00943730" w:rsidRDefault="002D5B25" w14:paraId="72F3F737" w14:textId="5D2C5B8E">
    <w:pPr>
      <w:pStyle w:val="Header"/>
    </w:pPr>
    <w:r w:rsidRPr="00943730">
      <w:rPr>
        <w:color w:val="2B579A"/>
        <w:shd w:val="clear" w:color="auto" w:fill="E6E6E6"/>
      </w:rPr>
      <w:fldChar w:fldCharType="begin"/>
    </w:r>
    <w:r w:rsidRPr="00943730">
      <w:instrText xml:space="preserve"> DATE  \@ "MMMM yyyy"  \* MERGEFORMAT </w:instrText>
    </w:r>
    <w:r w:rsidRPr="00943730">
      <w:rPr>
        <w:color w:val="2B579A"/>
        <w:shd w:val="clear" w:color="auto" w:fill="E6E6E6"/>
      </w:rPr>
      <w:fldChar w:fldCharType="separate"/>
    </w:r>
    <w:r w:rsidR="00350E1B">
      <w:rPr>
        <w:noProof/>
      </w:rPr>
      <w:t>September 2021</w:t>
    </w:r>
    <w:r w:rsidRPr="00943730">
      <w:rPr>
        <w:color w:val="2B579A"/>
        <w:shd w:val="clear" w:color="auto" w:fill="E6E6E6"/>
      </w:rPr>
      <w:fldChar w:fldCharType="end"/>
    </w:r>
    <w:r w:rsidRPr="00943730">
      <w:rPr>
        <w:noProof/>
        <w:color w:val="2B579A"/>
        <w:shd w:val="clear" w:color="auto" w:fill="E6E6E6"/>
        <w:lang w:val="en-AU" w:eastAsia="en-AU"/>
      </w:rPr>
      <w:drawing>
        <wp:anchor distT="0" distB="0" distL="114300" distR="114300" simplePos="0" relativeHeight="251657216" behindDoc="1" locked="1" layoutInCell="1" allowOverlap="1" wp14:anchorId="01DD7C33" wp14:editId="3C52DC6F">
          <wp:simplePos x="0" y="0"/>
          <wp:positionH relativeFrom="margin">
            <wp:align>left</wp:align>
          </wp:positionH>
          <wp:positionV relativeFrom="margin">
            <wp:align>top</wp:align>
          </wp:positionV>
          <wp:extent cx="3166745" cy="554355"/>
          <wp:effectExtent l="0" t="0" r="0" b="0"/>
          <wp:wrapNone/>
          <wp:docPr id="8" name="Picture 8"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color w:val="2B579A"/>
        <w:shd w:val="clear" w:color="auto" w:fill="E6E6E6"/>
        <w:lang w:val="en-AU" w:eastAsia="en-AU"/>
      </w:rPr>
      <w:drawing>
        <wp:anchor distT="0" distB="0" distL="114300" distR="114300" simplePos="0" relativeHeight="251656192" behindDoc="1" locked="1" layoutInCell="1" allowOverlap="1" wp14:anchorId="75BF8E5D" wp14:editId="50C573A1">
          <wp:simplePos x="0" y="0"/>
          <wp:positionH relativeFrom="page">
            <wp:posOffset>12700</wp:posOffset>
          </wp:positionH>
          <wp:positionV relativeFrom="page">
            <wp:posOffset>0</wp:posOffset>
          </wp:positionV>
          <wp:extent cx="7559040" cy="10692765"/>
          <wp:effectExtent l="0" t="0" r="3810" b="0"/>
          <wp:wrapNone/>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hint="default" w:ascii="Symbol" w:hAnsi="Symbol"/>
      </w:rPr>
    </w:lvl>
    <w:lvl w:ilvl="1" w:tplc="0C090003" w:tentative="1">
      <w:start w:val="1"/>
      <w:numFmt w:val="bullet"/>
      <w:lvlText w:val="o"/>
      <w:lvlJc w:val="left"/>
      <w:pPr>
        <w:ind w:left="1592" w:hanging="360"/>
      </w:pPr>
      <w:rPr>
        <w:rFonts w:hint="default" w:ascii="Courier New" w:hAnsi="Courier New" w:cs="Courier New"/>
      </w:rPr>
    </w:lvl>
    <w:lvl w:ilvl="2" w:tplc="0C090005" w:tentative="1">
      <w:start w:val="1"/>
      <w:numFmt w:val="bullet"/>
      <w:lvlText w:val=""/>
      <w:lvlJc w:val="left"/>
      <w:pPr>
        <w:ind w:left="2312" w:hanging="360"/>
      </w:pPr>
      <w:rPr>
        <w:rFonts w:hint="default" w:ascii="Wingdings" w:hAnsi="Wingdings"/>
      </w:rPr>
    </w:lvl>
    <w:lvl w:ilvl="3" w:tplc="0C090001" w:tentative="1">
      <w:start w:val="1"/>
      <w:numFmt w:val="bullet"/>
      <w:lvlText w:val=""/>
      <w:lvlJc w:val="left"/>
      <w:pPr>
        <w:ind w:left="3032" w:hanging="360"/>
      </w:pPr>
      <w:rPr>
        <w:rFonts w:hint="default" w:ascii="Symbol" w:hAnsi="Symbol"/>
      </w:rPr>
    </w:lvl>
    <w:lvl w:ilvl="4" w:tplc="0C090003" w:tentative="1">
      <w:start w:val="1"/>
      <w:numFmt w:val="bullet"/>
      <w:lvlText w:val="o"/>
      <w:lvlJc w:val="left"/>
      <w:pPr>
        <w:ind w:left="3752" w:hanging="360"/>
      </w:pPr>
      <w:rPr>
        <w:rFonts w:hint="default" w:ascii="Courier New" w:hAnsi="Courier New" w:cs="Courier New"/>
      </w:rPr>
    </w:lvl>
    <w:lvl w:ilvl="5" w:tplc="0C090005" w:tentative="1">
      <w:start w:val="1"/>
      <w:numFmt w:val="bullet"/>
      <w:lvlText w:val=""/>
      <w:lvlJc w:val="left"/>
      <w:pPr>
        <w:ind w:left="4472" w:hanging="360"/>
      </w:pPr>
      <w:rPr>
        <w:rFonts w:hint="default" w:ascii="Wingdings" w:hAnsi="Wingdings"/>
      </w:rPr>
    </w:lvl>
    <w:lvl w:ilvl="6" w:tplc="0C090001" w:tentative="1">
      <w:start w:val="1"/>
      <w:numFmt w:val="bullet"/>
      <w:lvlText w:val=""/>
      <w:lvlJc w:val="left"/>
      <w:pPr>
        <w:ind w:left="5192" w:hanging="360"/>
      </w:pPr>
      <w:rPr>
        <w:rFonts w:hint="default" w:ascii="Symbol" w:hAnsi="Symbol"/>
      </w:rPr>
    </w:lvl>
    <w:lvl w:ilvl="7" w:tplc="0C090003" w:tentative="1">
      <w:start w:val="1"/>
      <w:numFmt w:val="bullet"/>
      <w:lvlText w:val="o"/>
      <w:lvlJc w:val="left"/>
      <w:pPr>
        <w:ind w:left="5912" w:hanging="360"/>
      </w:pPr>
      <w:rPr>
        <w:rFonts w:hint="default" w:ascii="Courier New" w:hAnsi="Courier New" w:cs="Courier New"/>
      </w:rPr>
    </w:lvl>
    <w:lvl w:ilvl="8" w:tplc="0C090005" w:tentative="1">
      <w:start w:val="1"/>
      <w:numFmt w:val="bullet"/>
      <w:lvlText w:val=""/>
      <w:lvlJc w:val="left"/>
      <w:pPr>
        <w:ind w:left="6632" w:hanging="360"/>
      </w:pPr>
      <w:rPr>
        <w:rFonts w:hint="default" w:ascii="Wingdings" w:hAnsi="Wingdings"/>
      </w:rPr>
    </w:lvl>
  </w:abstractNum>
  <w:abstractNum w:abstractNumId="13" w15:restartNumberingAfterBreak="0">
    <w:nsid w:val="17375E24"/>
    <w:multiLevelType w:val="hybridMultilevel"/>
    <w:tmpl w:val="AAB8DC7C"/>
    <w:lvl w:ilvl="0" w:tplc="11729B1A">
      <w:numFmt w:val="bullet"/>
      <w:lvlText w:val=""/>
      <w:lvlJc w:val="left"/>
      <w:pPr>
        <w:ind w:left="720" w:hanging="360"/>
      </w:pPr>
      <w:rPr>
        <w:rFonts w:hint="default" w:ascii="Symbol" w:hAnsi="Symbol" w:eastAsia="Calibri Light"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C453D2F"/>
    <w:multiLevelType w:val="multilevel"/>
    <w:tmpl w:val="51963F56"/>
    <w:numStyleLink w:val="BulletsList"/>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DFA111E"/>
    <w:multiLevelType w:val="hybridMultilevel"/>
    <w:tmpl w:val="B53AFF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0443493"/>
    <w:multiLevelType w:val="hybridMultilevel"/>
    <w:tmpl w:val="360AAC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3C1EA7"/>
    <w:multiLevelType w:val="multilevel"/>
    <w:tmpl w:val="51963F56"/>
    <w:numStyleLink w:val="BulletsList"/>
  </w:abstractNum>
  <w:abstractNum w:abstractNumId="20" w15:restartNumberingAfterBreak="0">
    <w:nsid w:val="5D945348"/>
    <w:multiLevelType w:val="hybridMultilevel"/>
    <w:tmpl w:val="96FCBF6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73107305"/>
    <w:multiLevelType w:val="multilevel"/>
    <w:tmpl w:val="51963F56"/>
    <w:styleLink w:val="BulletsList"/>
    <w:lvl w:ilvl="0">
      <w:start w:val="1"/>
      <w:numFmt w:val="bullet"/>
      <w:pStyle w:val="Bullet1"/>
      <w:lvlText w:val=""/>
      <w:lvlJc w:val="left"/>
      <w:pPr>
        <w:ind w:left="284" w:hanging="284"/>
      </w:pPr>
      <w:rPr>
        <w:rFonts w:hint="default" w:ascii="Symbol" w:hAnsi="Symbol"/>
      </w:rPr>
    </w:lvl>
    <w:lvl w:ilvl="1">
      <w:start w:val="1"/>
      <w:numFmt w:val="bullet"/>
      <w:pStyle w:val="Bullet2"/>
      <w:lvlText w:val="–"/>
      <w:lvlJc w:val="left"/>
      <w:pPr>
        <w:ind w:left="568" w:hanging="284"/>
      </w:pPr>
      <w:rPr>
        <w:rFonts w:hint="default" w:ascii="Arial" w:hAnsi="Arial"/>
      </w:rPr>
    </w:lvl>
    <w:lvl w:ilvl="2">
      <w:start w:val="1"/>
      <w:numFmt w:val="bullet"/>
      <w:pStyle w:val="Bullet3"/>
      <w:lvlText w:val="»"/>
      <w:lvlJc w:val="left"/>
      <w:pPr>
        <w:ind w:left="852" w:hanging="284"/>
      </w:pPr>
      <w:rPr>
        <w:rFonts w:hint="default" w:ascii="Arial" w:hAnsi="Arial"/>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92E3E94"/>
    <w:multiLevelType w:val="hybridMultilevel"/>
    <w:tmpl w:val="F5FC89DC"/>
    <w:lvl w:ilvl="0" w:tplc="0D469CE2">
      <w:start w:val="1"/>
      <w:numFmt w:val="bullet"/>
      <w:pStyle w:val="Box2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5"/>
  </w:num>
  <w:num w:numId="23">
    <w:abstractNumId w:val="15"/>
  </w:num>
  <w:num w:numId="24">
    <w:abstractNumId w:val="19"/>
  </w:num>
  <w:num w:numId="25">
    <w:abstractNumId w:val="19"/>
  </w:num>
  <w:num w:numId="26">
    <w:abstractNumId w:val="19"/>
  </w:num>
  <w:num w:numId="27">
    <w:abstractNumId w:val="18"/>
  </w:num>
  <w:num w:numId="28">
    <w:abstractNumId w:val="10"/>
  </w:num>
  <w:num w:numId="29">
    <w:abstractNumId w:val="10"/>
  </w:num>
  <w:num w:numId="30">
    <w:abstractNumId w:val="10"/>
  </w:num>
  <w:num w:numId="31">
    <w:abstractNumId w:val="12"/>
  </w:num>
  <w:num w:numId="32">
    <w:abstractNumId w:val="23"/>
  </w:num>
  <w:num w:numId="33">
    <w:abstractNumId w:val="14"/>
  </w:num>
  <w:num w:numId="3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6"/>
  </w:num>
  <w:num w:numId="37">
    <w:abstractNumId w:val="2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trackRevisions w:val="false"/>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D6"/>
    <w:rsid w:val="00001DA8"/>
    <w:rsid w:val="000020C1"/>
    <w:rsid w:val="0002080A"/>
    <w:rsid w:val="0002782F"/>
    <w:rsid w:val="00031486"/>
    <w:rsid w:val="00035BBF"/>
    <w:rsid w:val="000371FE"/>
    <w:rsid w:val="00050806"/>
    <w:rsid w:val="000546D9"/>
    <w:rsid w:val="00054E4D"/>
    <w:rsid w:val="00060073"/>
    <w:rsid w:val="000616C6"/>
    <w:rsid w:val="00075EF6"/>
    <w:rsid w:val="000854FD"/>
    <w:rsid w:val="000A407E"/>
    <w:rsid w:val="000B37F5"/>
    <w:rsid w:val="000D66D6"/>
    <w:rsid w:val="000E6399"/>
    <w:rsid w:val="000F6710"/>
    <w:rsid w:val="00103CF5"/>
    <w:rsid w:val="00113288"/>
    <w:rsid w:val="001214BE"/>
    <w:rsid w:val="0013101C"/>
    <w:rsid w:val="001461D6"/>
    <w:rsid w:val="001541EA"/>
    <w:rsid w:val="00191E86"/>
    <w:rsid w:val="001A3B61"/>
    <w:rsid w:val="001D663E"/>
    <w:rsid w:val="001E1DC0"/>
    <w:rsid w:val="001E6D20"/>
    <w:rsid w:val="001F0968"/>
    <w:rsid w:val="00244229"/>
    <w:rsid w:val="0025091C"/>
    <w:rsid w:val="0028602A"/>
    <w:rsid w:val="002B5E10"/>
    <w:rsid w:val="002B7E31"/>
    <w:rsid w:val="002C793D"/>
    <w:rsid w:val="002D5B25"/>
    <w:rsid w:val="002F4F2B"/>
    <w:rsid w:val="003002C0"/>
    <w:rsid w:val="00301144"/>
    <w:rsid w:val="003031C6"/>
    <w:rsid w:val="00304984"/>
    <w:rsid w:val="00312BF8"/>
    <w:rsid w:val="003148B7"/>
    <w:rsid w:val="003158C3"/>
    <w:rsid w:val="003274CD"/>
    <w:rsid w:val="00333501"/>
    <w:rsid w:val="00334E20"/>
    <w:rsid w:val="003457C4"/>
    <w:rsid w:val="00350E1B"/>
    <w:rsid w:val="0035119D"/>
    <w:rsid w:val="0039344A"/>
    <w:rsid w:val="003B21C8"/>
    <w:rsid w:val="003B4F12"/>
    <w:rsid w:val="003C6C4F"/>
    <w:rsid w:val="003F2041"/>
    <w:rsid w:val="00402ACC"/>
    <w:rsid w:val="00402FCB"/>
    <w:rsid w:val="00410AD6"/>
    <w:rsid w:val="004120EC"/>
    <w:rsid w:val="00423F31"/>
    <w:rsid w:val="00431899"/>
    <w:rsid w:val="00482AE8"/>
    <w:rsid w:val="00486804"/>
    <w:rsid w:val="004942F6"/>
    <w:rsid w:val="004B3775"/>
    <w:rsid w:val="004D0BA0"/>
    <w:rsid w:val="004E058F"/>
    <w:rsid w:val="004E3B87"/>
    <w:rsid w:val="00510921"/>
    <w:rsid w:val="00510AD3"/>
    <w:rsid w:val="00513348"/>
    <w:rsid w:val="00513AD8"/>
    <w:rsid w:val="005204D2"/>
    <w:rsid w:val="00522396"/>
    <w:rsid w:val="00533B5D"/>
    <w:rsid w:val="005A20F6"/>
    <w:rsid w:val="005D2646"/>
    <w:rsid w:val="005D3655"/>
    <w:rsid w:val="005E4830"/>
    <w:rsid w:val="00622B86"/>
    <w:rsid w:val="00623BA1"/>
    <w:rsid w:val="006346BC"/>
    <w:rsid w:val="006464FE"/>
    <w:rsid w:val="0066652A"/>
    <w:rsid w:val="006719C3"/>
    <w:rsid w:val="00680522"/>
    <w:rsid w:val="00682167"/>
    <w:rsid w:val="006C42AF"/>
    <w:rsid w:val="00711D8E"/>
    <w:rsid w:val="00712672"/>
    <w:rsid w:val="00734E3F"/>
    <w:rsid w:val="00736985"/>
    <w:rsid w:val="00745DF5"/>
    <w:rsid w:val="0074692E"/>
    <w:rsid w:val="0076250F"/>
    <w:rsid w:val="00780FA5"/>
    <w:rsid w:val="007B6200"/>
    <w:rsid w:val="007C6D09"/>
    <w:rsid w:val="007E556D"/>
    <w:rsid w:val="007F3395"/>
    <w:rsid w:val="00801B9F"/>
    <w:rsid w:val="0080204D"/>
    <w:rsid w:val="00810690"/>
    <w:rsid w:val="00837A61"/>
    <w:rsid w:val="0084191E"/>
    <w:rsid w:val="008475F0"/>
    <w:rsid w:val="008557A7"/>
    <w:rsid w:val="00870928"/>
    <w:rsid w:val="00872AA6"/>
    <w:rsid w:val="0089405C"/>
    <w:rsid w:val="00897FA2"/>
    <w:rsid w:val="008A5AFE"/>
    <w:rsid w:val="008C5A0E"/>
    <w:rsid w:val="00904DF9"/>
    <w:rsid w:val="00943730"/>
    <w:rsid w:val="00965398"/>
    <w:rsid w:val="00975CA5"/>
    <w:rsid w:val="009838B0"/>
    <w:rsid w:val="00986590"/>
    <w:rsid w:val="00992C76"/>
    <w:rsid w:val="009969D6"/>
    <w:rsid w:val="009A7A55"/>
    <w:rsid w:val="009B4D3B"/>
    <w:rsid w:val="009D7407"/>
    <w:rsid w:val="009E0866"/>
    <w:rsid w:val="009E273C"/>
    <w:rsid w:val="009F1350"/>
    <w:rsid w:val="009F6423"/>
    <w:rsid w:val="00A112EE"/>
    <w:rsid w:val="00A24A62"/>
    <w:rsid w:val="00A31C9F"/>
    <w:rsid w:val="00A4144F"/>
    <w:rsid w:val="00A61B4D"/>
    <w:rsid w:val="00A80F95"/>
    <w:rsid w:val="00A82C60"/>
    <w:rsid w:val="00A97BF1"/>
    <w:rsid w:val="00AA298A"/>
    <w:rsid w:val="00AC164A"/>
    <w:rsid w:val="00AD6586"/>
    <w:rsid w:val="00AE448A"/>
    <w:rsid w:val="00AF2050"/>
    <w:rsid w:val="00B02B2A"/>
    <w:rsid w:val="00B03CA8"/>
    <w:rsid w:val="00B0694C"/>
    <w:rsid w:val="00B215D1"/>
    <w:rsid w:val="00B23C62"/>
    <w:rsid w:val="00B33C0A"/>
    <w:rsid w:val="00B55E19"/>
    <w:rsid w:val="00B857E1"/>
    <w:rsid w:val="00B94758"/>
    <w:rsid w:val="00BA4B6D"/>
    <w:rsid w:val="00BB26C5"/>
    <w:rsid w:val="00BB723C"/>
    <w:rsid w:val="00BC33C7"/>
    <w:rsid w:val="00BF4DE6"/>
    <w:rsid w:val="00C06B13"/>
    <w:rsid w:val="00C27D25"/>
    <w:rsid w:val="00C35791"/>
    <w:rsid w:val="00C42541"/>
    <w:rsid w:val="00C42CDE"/>
    <w:rsid w:val="00C42EB7"/>
    <w:rsid w:val="00C5182A"/>
    <w:rsid w:val="00C63EE9"/>
    <w:rsid w:val="00C94B5D"/>
    <w:rsid w:val="00CA16F3"/>
    <w:rsid w:val="00CA37B1"/>
    <w:rsid w:val="00CA45F6"/>
    <w:rsid w:val="00CB1959"/>
    <w:rsid w:val="00CC741B"/>
    <w:rsid w:val="00CD0E4B"/>
    <w:rsid w:val="00CE4C89"/>
    <w:rsid w:val="00CF07BA"/>
    <w:rsid w:val="00D0296C"/>
    <w:rsid w:val="00D23479"/>
    <w:rsid w:val="00D32D6F"/>
    <w:rsid w:val="00D351D7"/>
    <w:rsid w:val="00D37B04"/>
    <w:rsid w:val="00D540C6"/>
    <w:rsid w:val="00D64BD1"/>
    <w:rsid w:val="00D71A2E"/>
    <w:rsid w:val="00D74E8D"/>
    <w:rsid w:val="00D92254"/>
    <w:rsid w:val="00DE084C"/>
    <w:rsid w:val="00DE1210"/>
    <w:rsid w:val="00DE74B2"/>
    <w:rsid w:val="00DF35A9"/>
    <w:rsid w:val="00E14F51"/>
    <w:rsid w:val="00E30A1E"/>
    <w:rsid w:val="00E357B7"/>
    <w:rsid w:val="00E53800"/>
    <w:rsid w:val="00E6081F"/>
    <w:rsid w:val="00E8296D"/>
    <w:rsid w:val="00E8457B"/>
    <w:rsid w:val="00EA04B2"/>
    <w:rsid w:val="00EA20F3"/>
    <w:rsid w:val="00ED2831"/>
    <w:rsid w:val="00ED43D1"/>
    <w:rsid w:val="00EE4EE1"/>
    <w:rsid w:val="00EF4574"/>
    <w:rsid w:val="00EF5065"/>
    <w:rsid w:val="00F136BF"/>
    <w:rsid w:val="00F20161"/>
    <w:rsid w:val="00F25A93"/>
    <w:rsid w:val="00F2684E"/>
    <w:rsid w:val="00F5404C"/>
    <w:rsid w:val="00F67C6A"/>
    <w:rsid w:val="00F729EF"/>
    <w:rsid w:val="00F77CAE"/>
    <w:rsid w:val="00F82271"/>
    <w:rsid w:val="00F83428"/>
    <w:rsid w:val="00F96BB9"/>
    <w:rsid w:val="00FC2F66"/>
    <w:rsid w:val="00FC56F4"/>
    <w:rsid w:val="00FD700F"/>
    <w:rsid w:val="00FE6D51"/>
    <w:rsid w:val="00FE6F2A"/>
    <w:rsid w:val="044E86E3"/>
    <w:rsid w:val="10151F96"/>
    <w:rsid w:val="155C7730"/>
    <w:rsid w:val="2233F993"/>
    <w:rsid w:val="24C7B31B"/>
    <w:rsid w:val="32B631AB"/>
    <w:rsid w:val="33C063D0"/>
    <w:rsid w:val="36EF1AED"/>
    <w:rsid w:val="4EB5B2ED"/>
    <w:rsid w:val="4F59CBC1"/>
    <w:rsid w:val="54587082"/>
    <w:rsid w:val="581712FA"/>
    <w:rsid w:val="5D806D80"/>
    <w:rsid w:val="608B6504"/>
    <w:rsid w:val="6711134C"/>
    <w:rsid w:val="6D2B4789"/>
    <w:rsid w:val="6F566F6C"/>
    <w:rsid w:val="7A7E49FF"/>
    <w:rsid w:val="7B0BA1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289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locked="0" w:uiPriority="9" w:semiHidden="1" w:unhideWhenUsed="1" w:qFormat="1"/>
    <w:lsdException w:name="heading 6" w:locked="0" w:uiPriority="9" w:semiHidden="1" w:unhideWhenUsed="1" w:qFormat="1"/>
    <w:lsdException w:name="heading 7" w:locked="0" w:uiPriority="9" w:semiHidden="1" w:unhideWhenUsed="1" w:qFormat="1"/>
    <w:lsdException w:name="heading 8" w:locked="0" w:uiPriority="9" w:semiHidden="1" w:unhideWhenUsed="1" w:qFormat="1"/>
    <w:lsdException w:name="heading 9" w:locked="0" w:uiPriority="9"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locked="0" w:uiPriority="39" w:semiHidden="1" w:unhideWhenUsed="1"/>
    <w:lsdException w:name="toc 6" w:locked="0" w:uiPriority="39" w:semiHidden="1" w:unhideWhenUsed="1"/>
    <w:lsdException w:name="toc 7" w:locked="0" w:uiPriority="39" w:semiHidden="1" w:unhideWhenUsed="1"/>
    <w:lsdException w:name="toc 8" w:locked="0" w:uiPriority="39" w:semiHidden="1" w:unhideWhenUsed="1"/>
    <w:lsdException w:name="toc 9" w:locked="0"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uiPriority="35"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uiPriority="1" w:semiHidden="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locked="0"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qFormat/>
    <w:rsid w:val="00DF35A9"/>
    <w:pPr>
      <w:suppressAutoHyphens/>
      <w:spacing w:before="120" w:after="60" w:line="260" w:lineRule="atLeast"/>
    </w:pPr>
    <w:rPr>
      <w:rFonts w:ascii="Calibri Light" w:hAnsi="Calibri Light" w:eastAsia="Calibri Light" w:cs="Times New Roman"/>
      <w:color w:val="495965"/>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hAnsiTheme="majorHAnsi" w:eastAsiaTheme="majorEastAsia" w:cstheme="majorBidi"/>
      <w:b/>
      <w:bCs/>
      <w:caps/>
      <w:color w:val="495965" w:themeColor="text2"/>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4692E"/>
    <w:rPr>
      <w:rFonts w:asciiTheme="majorHAnsi" w:hAnsiTheme="majorHAnsi" w:eastAsiaTheme="majorEastAsia" w:cstheme="majorBidi"/>
      <w:b/>
      <w:bCs/>
      <w:caps/>
      <w:color w:val="495965" w:themeColor="text2"/>
      <w:sz w:val="38"/>
      <w:szCs w:val="28"/>
      <w:lang w:val="en-GB"/>
    </w:rPr>
  </w:style>
  <w:style w:type="character" w:styleId="Heading2Char" w:customStyle="1">
    <w:name w:val="Heading 2 Char"/>
    <w:basedOn w:val="DefaultParagraphFont"/>
    <w:link w:val="Heading2"/>
    <w:uiPriority w:val="9"/>
    <w:rsid w:val="000A407E"/>
    <w:rPr>
      <w:rFonts w:asciiTheme="majorHAnsi" w:hAnsiTheme="majorHAnsi" w:eastAsiaTheme="majorEastAsia" w:cstheme="majorBidi"/>
      <w:caps/>
      <w:color w:val="495965" w:themeColor="text2"/>
      <w:sz w:val="38"/>
      <w:szCs w:val="26"/>
      <w:lang w:val="en-GB"/>
    </w:rPr>
  </w:style>
  <w:style w:type="character" w:styleId="Heading3Char" w:customStyle="1">
    <w:name w:val="Heading 3 Char"/>
    <w:basedOn w:val="DefaultParagraphFont"/>
    <w:link w:val="Heading3"/>
    <w:uiPriority w:val="9"/>
    <w:rsid w:val="00ED2831"/>
    <w:rPr>
      <w:rFonts w:asciiTheme="majorHAnsi" w:hAnsiTheme="majorHAnsi" w:eastAsiaTheme="majorEastAsia" w:cstheme="majorBidi"/>
      <w:bCs/>
      <w:color w:val="495965" w:themeColor="text2"/>
      <w:sz w:val="30"/>
      <w:szCs w:val="26"/>
      <w:lang w:val="en-GB"/>
    </w:rPr>
  </w:style>
  <w:style w:type="paragraph" w:styleId="NormalIndented" w:customStyle="1">
    <w:name w:val="Normal Indented"/>
    <w:basedOn w:val="Normal"/>
    <w:qFormat/>
    <w:rsid w:val="00D0296C"/>
    <w:pPr>
      <w:ind w:left="284"/>
    </w:pPr>
    <w:rPr>
      <w:rFonts w:asciiTheme="minorHAnsi" w:hAnsiTheme="minorHAnsi" w:eastAsiaTheme="minorHAnsi" w:cstheme="minorBidi"/>
      <w:color w:val="495965" w:themeColor="text2"/>
    </w:rPr>
  </w:style>
  <w:style w:type="paragraph" w:styleId="Title">
    <w:name w:val="Title"/>
    <w:basedOn w:val="Heading1"/>
    <w:next w:val="Normal"/>
    <w:link w:val="TitleChar"/>
    <w:uiPriority w:val="10"/>
    <w:qFormat/>
    <w:rsid w:val="00D64BD1"/>
    <w:pPr>
      <w:spacing w:after="0"/>
    </w:pPr>
    <w:rPr>
      <w:spacing w:val="-10"/>
      <w:kern w:val="28"/>
      <w:szCs w:val="52"/>
    </w:rPr>
  </w:style>
  <w:style w:type="character" w:styleId="TitleChar" w:customStyle="1">
    <w:name w:val="Title Char"/>
    <w:basedOn w:val="DefaultParagraphFont"/>
    <w:link w:val="Title"/>
    <w:uiPriority w:val="10"/>
    <w:rsid w:val="00D64BD1"/>
    <w:rPr>
      <w:rFonts w:asciiTheme="majorHAnsi" w:hAnsiTheme="majorHAnsi" w:eastAsiaTheme="majorEastAsia"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styleId="SubtitleChar" w:customStyle="1">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styleId="Bullet1" w:customStyle="1">
    <w:name w:val="Bullet 1"/>
    <w:basedOn w:val="Normal"/>
    <w:link w:val="Bullet1Char"/>
    <w:qFormat/>
    <w:rsid w:val="00103CF5"/>
    <w:pPr>
      <w:numPr>
        <w:numId w:val="33"/>
      </w:numPr>
      <w:spacing w:before="0"/>
    </w:pPr>
    <w:rPr>
      <w:rFonts w:asciiTheme="minorHAnsi" w:hAnsiTheme="minorHAnsi" w:eastAsiaTheme="minorHAnsi" w:cstheme="minorBidi"/>
      <w:color w:val="495965" w:themeColor="text2"/>
    </w:rPr>
  </w:style>
  <w:style w:type="paragraph" w:styleId="Bullet2" w:customStyle="1">
    <w:name w:val="Bullet 2"/>
    <w:basedOn w:val="Bullet1"/>
    <w:qFormat/>
    <w:rsid w:val="00F2684E"/>
    <w:pPr>
      <w:numPr>
        <w:ilvl w:val="1"/>
      </w:numPr>
    </w:pPr>
  </w:style>
  <w:style w:type="paragraph" w:styleId="Bullet3" w:customStyle="1">
    <w:name w:val="Bullet 3"/>
    <w:basedOn w:val="Bullet2"/>
    <w:qFormat/>
    <w:rsid w:val="00F2684E"/>
    <w:pPr>
      <w:numPr>
        <w:ilvl w:val="2"/>
      </w:numPr>
    </w:pPr>
  </w:style>
  <w:style w:type="paragraph" w:styleId="NumberedList1" w:customStyle="1">
    <w:name w:val="Numbered List 1"/>
    <w:basedOn w:val="Normal"/>
    <w:qFormat/>
    <w:rsid w:val="00F2684E"/>
    <w:pPr>
      <w:numPr>
        <w:numId w:val="30"/>
      </w:numPr>
      <w:spacing w:before="0"/>
    </w:pPr>
    <w:rPr>
      <w:rFonts w:asciiTheme="minorHAnsi" w:hAnsiTheme="minorHAnsi" w:eastAsiaTheme="minorHAnsi" w:cstheme="minorBidi"/>
      <w:color w:val="495965" w:themeColor="text2"/>
    </w:rPr>
  </w:style>
  <w:style w:type="paragraph" w:styleId="NumberedList2" w:customStyle="1">
    <w:name w:val="Numbered List 2"/>
    <w:basedOn w:val="NumberedList1"/>
    <w:qFormat/>
    <w:rsid w:val="00F2684E"/>
    <w:pPr>
      <w:numPr>
        <w:ilvl w:val="1"/>
      </w:numPr>
    </w:pPr>
  </w:style>
  <w:style w:type="paragraph" w:styleId="NumberedList3" w:customStyle="1">
    <w:name w:val="Numbered List 3"/>
    <w:basedOn w:val="NumberedList2"/>
    <w:qFormat/>
    <w:rsid w:val="00F2684E"/>
    <w:pPr>
      <w:numPr>
        <w:ilvl w:val="2"/>
      </w:numPr>
    </w:pPr>
  </w:style>
  <w:style w:type="paragraph" w:styleId="Heading1Numbered" w:customStyle="1">
    <w:name w:val="Heading 1 Numbered"/>
    <w:basedOn w:val="Heading1"/>
    <w:next w:val="Normal"/>
    <w:qFormat/>
    <w:rsid w:val="001E1DC0"/>
    <w:pPr>
      <w:numPr>
        <w:numId w:val="23"/>
      </w:numPr>
    </w:pPr>
  </w:style>
  <w:style w:type="paragraph" w:styleId="Heading2Numbered" w:customStyle="1">
    <w:name w:val="Heading 2 Numbered"/>
    <w:basedOn w:val="Heading2"/>
    <w:next w:val="Normal"/>
    <w:qFormat/>
    <w:rsid w:val="00ED2831"/>
    <w:pPr>
      <w:numPr>
        <w:ilvl w:val="1"/>
        <w:numId w:val="23"/>
      </w:numPr>
      <w:spacing w:after="60"/>
    </w:pPr>
    <w:rPr>
      <w:bCs/>
    </w:rPr>
  </w:style>
  <w:style w:type="paragraph" w:styleId="Heading3Numbered" w:customStyle="1">
    <w:name w:val="Heading 3 Numbered"/>
    <w:basedOn w:val="Heading3"/>
    <w:next w:val="Normal"/>
    <w:qFormat/>
    <w:rsid w:val="00ED2831"/>
    <w:pPr>
      <w:numPr>
        <w:ilvl w:val="2"/>
        <w:numId w:val="23"/>
      </w:numPr>
      <w:spacing w:before="300" w:after="60"/>
    </w:pPr>
    <w:rPr>
      <w:szCs w:val="22"/>
    </w:rPr>
  </w:style>
  <w:style w:type="numbering" w:styleId="BulletsList" w:customStyle="1">
    <w:name w:val="Bullets List"/>
    <w:uiPriority w:val="99"/>
    <w:rsid w:val="00103CF5"/>
    <w:pPr>
      <w:numPr>
        <w:numId w:val="1"/>
      </w:numPr>
    </w:pPr>
  </w:style>
  <w:style w:type="numbering" w:styleId="Numberedlist" w:customStyle="1">
    <w:name w:val="Numbered list"/>
    <w:uiPriority w:val="99"/>
    <w:rsid w:val="00F2684E"/>
    <w:pPr>
      <w:numPr>
        <w:numId w:val="3"/>
      </w:numPr>
    </w:pPr>
  </w:style>
  <w:style w:type="numbering" w:styleId="HeadingsList" w:customStyle="1">
    <w:name w:val="Headings List"/>
    <w:uiPriority w:val="99"/>
    <w:rsid w:val="001E1DC0"/>
    <w:pPr>
      <w:numPr>
        <w:numId w:val="5"/>
      </w:numPr>
    </w:pPr>
  </w:style>
  <w:style w:type="table" w:styleId="PlainTable21" w:customStyle="1">
    <w:name w:val="Plain Table 21"/>
    <w:basedOn w:val="TableNormal"/>
    <w:uiPriority w:val="42"/>
    <w:locked/>
    <w:rsid w:val="003148B7"/>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val="0"/>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styleId="Heading4Char" w:customStyle="1">
    <w:name w:val="Heading 4 Char"/>
    <w:basedOn w:val="DefaultParagraphFont"/>
    <w:link w:val="Heading4"/>
    <w:uiPriority w:val="9"/>
    <w:rsid w:val="00A4144F"/>
    <w:rPr>
      <w:rFonts w:asciiTheme="majorHAnsi" w:hAnsiTheme="majorHAnsi" w:eastAsiaTheme="majorEastAsia"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color="65C5B4" w:themeColor="accent1" w:sz="4" w:space="6"/>
        <w:between w:val="single" w:color="65C5B4" w:themeColor="accent1" w:sz="4" w:space="6"/>
      </w:pBdr>
      <w:tabs>
        <w:tab w:val="right" w:pos="9639"/>
      </w:tabs>
      <w:spacing w:after="100" w:line="320" w:lineRule="atLeast"/>
    </w:pPr>
    <w:rPr>
      <w:rFonts w:asciiTheme="minorHAnsi" w:hAnsiTheme="minorHAnsi" w:eastAsiaTheme="minorHAnsi" w:cstheme="minorBidi"/>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rPr>
      <w:rFonts w:asciiTheme="minorHAnsi" w:hAnsiTheme="minorHAnsi" w:eastAsiaTheme="minorHAnsi" w:cstheme="minorBidi"/>
      <w:color w:val="495965" w:themeColor="text2"/>
    </w:rPr>
  </w:style>
  <w:style w:type="paragraph" w:styleId="TOC3">
    <w:name w:val="toc 3"/>
    <w:basedOn w:val="Normal"/>
    <w:next w:val="Normal"/>
    <w:autoRedefine/>
    <w:uiPriority w:val="39"/>
    <w:unhideWhenUsed/>
    <w:rsid w:val="0035119D"/>
    <w:pPr>
      <w:spacing w:after="100"/>
      <w:ind w:left="400"/>
    </w:pPr>
    <w:rPr>
      <w:rFonts w:asciiTheme="minorHAnsi" w:hAnsiTheme="minorHAnsi" w:eastAsiaTheme="minorHAnsi" w:cstheme="minorBidi"/>
      <w:color w:val="495965" w:themeColor="text2"/>
    </w:rPr>
  </w:style>
  <w:style w:type="paragraph" w:styleId="Header">
    <w:name w:val="header"/>
    <w:basedOn w:val="Normal"/>
    <w:link w:val="HeaderChar"/>
    <w:uiPriority w:val="99"/>
    <w:unhideWhenUsed/>
    <w:rsid w:val="00FE6F2A"/>
    <w:pPr>
      <w:tabs>
        <w:tab w:val="center" w:pos="4513"/>
        <w:tab w:val="right" w:pos="9026"/>
      </w:tabs>
      <w:spacing w:before="0" w:after="0"/>
      <w:ind w:left="227"/>
    </w:pPr>
    <w:rPr>
      <w:rFonts w:asciiTheme="minorHAnsi" w:hAnsiTheme="minorHAnsi" w:eastAsiaTheme="minorHAnsi" w:cstheme="minorBidi"/>
      <w:b/>
      <w:caps/>
      <w:color w:val="495965" w:themeColor="text2"/>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asciiTheme="minorHAnsi" w:hAnsiTheme="minorHAnsi" w:eastAsiaTheme="minorEastAsia" w:cstheme="minorBidi"/>
      <w:color w:val="495965" w:themeColor="text2"/>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asciiTheme="minorHAnsi" w:hAnsiTheme="minorHAnsi" w:eastAsiaTheme="minorEastAsia" w:cstheme="minorBidi"/>
      <w:color w:val="495965" w:themeColor="text2"/>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asciiTheme="minorHAnsi" w:hAnsiTheme="minorHAnsi" w:eastAsiaTheme="minorEastAsia" w:cstheme="minorBidi"/>
      <w:color w:val="495965" w:themeColor="text2"/>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asciiTheme="minorHAnsi" w:hAnsiTheme="minorHAnsi" w:eastAsiaTheme="minorEastAsia" w:cstheme="minorBidi"/>
      <w:color w:val="495965" w:themeColor="text2"/>
      <w:lang w:eastAsia="en-AU"/>
    </w:rPr>
  </w:style>
  <w:style w:type="numbering" w:styleId="TableHeadingNumbers" w:customStyle="1">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asciiTheme="minorHAnsi" w:hAnsiTheme="minorHAnsi" w:eastAsiaTheme="minorEastAsia" w:cstheme="minorBidi"/>
      <w:color w:val="495965" w:themeColor="text2"/>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asciiTheme="minorHAnsi" w:hAnsiTheme="minorHAnsi" w:eastAsiaTheme="minorEastAsia" w:cstheme="minorBidi"/>
      <w:color w:val="495965" w:themeColor="text2"/>
      <w:lang w:eastAsia="en-AU"/>
    </w:rPr>
  </w:style>
  <w:style w:type="paragraph" w:styleId="TableofFigures">
    <w:name w:val="table of figures"/>
    <w:basedOn w:val="Normal"/>
    <w:next w:val="Normal"/>
    <w:uiPriority w:val="99"/>
    <w:unhideWhenUsed/>
    <w:rsid w:val="0035119D"/>
    <w:pPr>
      <w:spacing w:after="0"/>
      <w:ind w:left="907" w:hanging="907"/>
    </w:pPr>
    <w:rPr>
      <w:rFonts w:asciiTheme="minorHAnsi" w:hAnsiTheme="minorHAnsi" w:eastAsiaTheme="minorHAnsi" w:cstheme="minorBidi"/>
      <w:color w:val="495965" w:themeColor="text2"/>
    </w:rPr>
  </w:style>
  <w:style w:type="paragraph" w:styleId="IntroPara" w:customStyle="1">
    <w:name w:val="Intro Para"/>
    <w:basedOn w:val="Normal"/>
    <w:qFormat/>
    <w:rsid w:val="00103CF5"/>
    <w:pPr>
      <w:spacing w:before="400" w:after="400" w:line="280" w:lineRule="exact"/>
    </w:pPr>
    <w:rPr>
      <w:rFonts w:asciiTheme="minorHAnsi" w:hAnsiTheme="minorHAnsi" w:eastAsiaTheme="minorHAnsi" w:cstheme="minorBidi"/>
      <w:b/>
      <w:color w:val="ACD08C" w:themeColor="accent2"/>
      <w:sz w:val="28"/>
    </w:rPr>
  </w:style>
  <w:style w:type="table" w:styleId="TableGrid">
    <w:name w:val="Table Grid"/>
    <w:basedOn w:val="TableNormal"/>
    <w:uiPriority w:val="59"/>
    <w:locked/>
    <w:rsid w:val="00ED28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FE6F2A"/>
    <w:rPr>
      <w:b/>
      <w:caps/>
      <w:color w:val="495965" w:themeColor="text2"/>
      <w:sz w:val="20"/>
      <w:lang w:val="en-GB"/>
    </w:rPr>
  </w:style>
  <w:style w:type="numbering" w:styleId="FigureTitles" w:customStyle="1">
    <w:name w:val="Figure Titles"/>
    <w:uiPriority w:val="99"/>
    <w:rsid w:val="006346BC"/>
    <w:pPr>
      <w:numPr>
        <w:numId w:val="10"/>
      </w:numPr>
    </w:pPr>
  </w:style>
  <w:style w:type="character" w:styleId="Hyperlink">
    <w:name w:val="Hyperlink"/>
    <w:basedOn w:val="DefaultParagraphFont"/>
    <w:uiPriority w:val="99"/>
    <w:rsid w:val="00F729EF"/>
    <w:rPr>
      <w:rFonts w:cs="MuseoSans-500" w:asciiTheme="minorHAnsi" w:hAnsiTheme="minorHAnsi"/>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styleId="Heading5Char" w:customStyle="1">
    <w:name w:val="Heading 5 Char"/>
    <w:basedOn w:val="DefaultParagraphFont"/>
    <w:link w:val="Heading5"/>
    <w:uiPriority w:val="9"/>
    <w:rsid w:val="00103CF5"/>
    <w:rPr>
      <w:rFonts w:asciiTheme="majorHAnsi" w:hAnsiTheme="majorHAnsi" w:eastAsiaTheme="majorEastAsia"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rFonts w:asciiTheme="minorHAnsi" w:hAnsiTheme="minorHAnsi" w:eastAsiaTheme="minorHAnsi" w:cstheme="minorBidi"/>
      <w:b/>
      <w:iCs/>
      <w:color w:val="495965" w:themeColor="text2"/>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rFonts w:asciiTheme="minorHAnsi" w:hAnsiTheme="minorHAnsi" w:eastAsiaTheme="minorHAnsi" w:cstheme="minorBidi"/>
      <w:color w:val="FFFFFF" w:themeColor="background1"/>
    </w:rPr>
  </w:style>
  <w:style w:type="character" w:styleId="FooterChar" w:customStyle="1">
    <w:name w:val="Footer Char"/>
    <w:basedOn w:val="DefaultParagraphFont"/>
    <w:link w:val="Footer"/>
    <w:uiPriority w:val="99"/>
    <w:rsid w:val="00CD0E4B"/>
    <w:rPr>
      <w:color w:val="FFFFFF" w:themeColor="background1"/>
    </w:rPr>
  </w:style>
  <w:style w:type="character" w:styleId="Heading6Char" w:customStyle="1">
    <w:name w:val="Heading 6 Char"/>
    <w:basedOn w:val="DefaultParagraphFont"/>
    <w:link w:val="Heading6"/>
    <w:uiPriority w:val="9"/>
    <w:semiHidden/>
    <w:rsid w:val="00486804"/>
    <w:rPr>
      <w:rFonts w:asciiTheme="majorHAnsi" w:hAnsiTheme="majorHAnsi" w:eastAsiaTheme="majorEastAsia" w:cstheme="majorBidi"/>
      <w:bCs/>
      <w:iCs/>
      <w:color w:val="286B5F" w:themeColor="accent1" w:themeShade="7F"/>
      <w:szCs w:val="26"/>
    </w:rPr>
  </w:style>
  <w:style w:type="character" w:styleId="Heading7Char" w:customStyle="1">
    <w:name w:val="Heading 7 Char"/>
    <w:basedOn w:val="DefaultParagraphFont"/>
    <w:link w:val="Heading7"/>
    <w:uiPriority w:val="9"/>
    <w:semiHidden/>
    <w:rsid w:val="00486804"/>
    <w:rPr>
      <w:rFonts w:asciiTheme="majorHAnsi" w:hAnsiTheme="majorHAnsi" w:eastAsiaTheme="majorEastAsia" w:cstheme="majorBidi"/>
      <w:bCs/>
      <w:i/>
      <w:color w:val="286B5F" w:themeColor="accent1" w:themeShade="7F"/>
      <w:szCs w:val="26"/>
    </w:rPr>
  </w:style>
  <w:style w:type="character" w:styleId="Heading8Char" w:customStyle="1">
    <w:name w:val="Heading 8 Char"/>
    <w:basedOn w:val="DefaultParagraphFont"/>
    <w:link w:val="Heading8"/>
    <w:uiPriority w:val="9"/>
    <w:semiHidden/>
    <w:rsid w:val="00486804"/>
    <w:rPr>
      <w:rFonts w:asciiTheme="majorHAnsi" w:hAnsiTheme="majorHAnsi" w:eastAsiaTheme="majorEastAsia" w:cstheme="majorBidi"/>
      <w:bCs/>
      <w:i/>
      <w:color w:val="272727" w:themeColor="text1" w:themeTint="D8"/>
      <w:sz w:val="21"/>
      <w:szCs w:val="21"/>
    </w:rPr>
  </w:style>
  <w:style w:type="character" w:styleId="Heading9Char" w:customStyle="1">
    <w:name w:val="Heading 9 Char"/>
    <w:basedOn w:val="DefaultParagraphFont"/>
    <w:link w:val="Heading9"/>
    <w:uiPriority w:val="9"/>
    <w:semiHidden/>
    <w:rsid w:val="00486804"/>
    <w:rPr>
      <w:rFonts w:asciiTheme="majorHAnsi" w:hAnsiTheme="majorHAnsi" w:eastAsiaTheme="majorEastAsia" w:cstheme="majorBidi"/>
      <w:bCs/>
      <w:iCs/>
      <w:color w:val="272727" w:themeColor="text1" w:themeTint="D8"/>
      <w:sz w:val="21"/>
      <w:szCs w:val="21"/>
    </w:rPr>
  </w:style>
  <w:style w:type="character" w:styleId="LightGrey" w:customStyle="1">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rFonts w:asciiTheme="minorHAnsi" w:hAnsiTheme="minorHAnsi" w:eastAsiaTheme="minorHAnsi" w:cstheme="minorBidi"/>
      <w:iCs/>
      <w:color w:val="495965" w:themeColor="text2"/>
      <w:sz w:val="28"/>
    </w:rPr>
  </w:style>
  <w:style w:type="character" w:styleId="QuoteChar" w:customStyle="1">
    <w:name w:val="Quote Char"/>
    <w:basedOn w:val="DefaultParagraphFont"/>
    <w:link w:val="Quote"/>
    <w:uiPriority w:val="29"/>
    <w:rsid w:val="00D64BD1"/>
    <w:rPr>
      <w:iCs/>
      <w:color w:val="495965" w:themeColor="text2"/>
      <w:sz w:val="28"/>
      <w:lang w:val="en-GB"/>
    </w:rPr>
  </w:style>
  <w:style w:type="paragraph" w:styleId="QuoteHeading" w:customStyle="1">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rFonts w:asciiTheme="minorHAnsi" w:hAnsiTheme="minorHAnsi" w:eastAsiaTheme="minorHAnsi" w:cstheme="minorBidi"/>
      <w:color w:val="495965" w:themeColor="text2"/>
      <w:sz w:val="12"/>
      <w:szCs w:val="20"/>
    </w:rPr>
  </w:style>
  <w:style w:type="character" w:styleId="FootnoteTextChar" w:customStyle="1">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styleId="GreyRoundBoxText" w:customStyle="1">
    <w:name w:val="Grey Round Box Text"/>
    <w:basedOn w:val="Normal"/>
    <w:qFormat/>
    <w:rsid w:val="000D66D6"/>
    <w:pPr>
      <w:spacing w:before="0"/>
    </w:pPr>
    <w:rPr>
      <w:rFonts w:asciiTheme="minorHAnsi" w:hAnsiTheme="minorHAnsi" w:eastAsiaTheme="minorHAnsi" w:cstheme="minorBidi"/>
      <w:b/>
      <w:caps/>
      <w:color w:val="FFFFFF" w:themeColor="background1"/>
      <w:sz w:val="18"/>
    </w:rPr>
  </w:style>
  <w:style w:type="character" w:styleId="Green" w:customStyle="1">
    <w:name w:val="Green"/>
    <w:basedOn w:val="DefaultParagraphFont"/>
    <w:uiPriority w:val="1"/>
    <w:qFormat/>
    <w:rsid w:val="00244229"/>
    <w:rPr>
      <w:color w:val="ACD08C" w:themeColor="accent2"/>
    </w:rPr>
  </w:style>
  <w:style w:type="paragraph" w:styleId="PhotoMargins" w:customStyle="1">
    <w:name w:val="Photo Margins"/>
    <w:basedOn w:val="Normal"/>
    <w:qFormat/>
    <w:rsid w:val="00992C76"/>
    <w:rPr>
      <w:rFonts w:asciiTheme="minorHAnsi" w:hAnsiTheme="minorHAnsi" w:eastAsiaTheme="minorHAnsi" w:cstheme="minorBidi"/>
      <w:color w:val="495965" w:themeColor="text2"/>
    </w:rPr>
  </w:style>
  <w:style w:type="paragraph" w:styleId="PhotoLeft" w:customStyle="1">
    <w:name w:val="Photo Left"/>
    <w:basedOn w:val="PhotoMargins"/>
    <w:qFormat/>
    <w:rsid w:val="00F82271"/>
    <w:pPr>
      <w:ind w:left="-851"/>
    </w:pPr>
  </w:style>
  <w:style w:type="paragraph" w:styleId="PhotoRight" w:customStyle="1">
    <w:name w:val="Photo Right"/>
    <w:basedOn w:val="PhotoMargins"/>
    <w:qFormat/>
    <w:rsid w:val="00F82271"/>
    <w:pPr>
      <w:ind w:right="-851"/>
      <w:jc w:val="right"/>
    </w:pPr>
  </w:style>
  <w:style w:type="paragraph" w:styleId="PhotoCaption" w:customStyle="1">
    <w:name w:val="Photo Caption"/>
    <w:basedOn w:val="Normal"/>
    <w:qFormat/>
    <w:rsid w:val="00897FA2"/>
    <w:pPr>
      <w:spacing w:after="200" w:line="200" w:lineRule="atLeast"/>
      <w:jc w:val="right"/>
    </w:pPr>
    <w:rPr>
      <w:rFonts w:asciiTheme="minorHAnsi" w:hAnsiTheme="minorHAnsi" w:eastAsiaTheme="minorHAnsi" w:cstheme="minorBidi"/>
      <w:color w:val="495965" w:themeColor="text2"/>
      <w:sz w:val="16"/>
    </w:rPr>
  </w:style>
  <w:style w:type="table" w:styleId="DFATTable1" w:customSty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color="495965" w:themeColor="text2" w:sz="4" w:space="0"/>
        <w:bottom w:val="single" w:color="495965" w:themeColor="text2" w:sz="4" w:space="0"/>
        <w:insideH w:val="single" w:color="495965" w:themeColor="text2" w:sz="4" w:space="0"/>
      </w:tblBorders>
      <w:tblCellMar>
        <w:top w:w="57" w:type="dxa"/>
        <w:bottom w:w="57" w:type="dxa"/>
      </w:tblCellMar>
    </w:tblPr>
    <w:tblStylePr w:type="firstRow">
      <w:rPr>
        <w:b w:val="0"/>
      </w:rPr>
      <w:tblPr/>
      <w:tcPr>
        <w:tcBorders>
          <w:top w:val="single" w:color="65C5B4" w:themeColor="accent1" w:sz="4" w:space="0"/>
          <w:bottom w:val="single" w:color="65C5B4" w:themeColor="accent1" w:sz="4" w:space="0"/>
          <w:insideH w:val="single" w:color="65C5B4" w:themeColor="accent1" w:sz="4" w:space="0"/>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styleId="FootnoteSeparator" w:customStyle="1">
    <w:name w:val="Footnote Separator"/>
    <w:basedOn w:val="Footer"/>
    <w:qFormat/>
    <w:rsid w:val="00ED2831"/>
    <w:pPr>
      <w:pBdr>
        <w:top w:val="single" w:color="495965" w:themeColor="text2" w:sz="4" w:space="1"/>
      </w:pBdr>
      <w:tabs>
        <w:tab w:val="right" w:pos="9356"/>
        <w:tab w:val="center" w:pos="10036"/>
      </w:tabs>
      <w:spacing w:line="220" w:lineRule="atLeast"/>
      <w:ind w:right="0"/>
      <w:jc w:val="left"/>
    </w:pPr>
    <w:rPr>
      <w:color w:val="495965" w:themeColor="text2"/>
      <w:sz w:val="14"/>
    </w:rPr>
  </w:style>
  <w:style w:type="paragraph" w:styleId="Heading1smallspaceafter" w:customStyle="1">
    <w:name w:val="Heading 1 small space after"/>
    <w:basedOn w:val="Heading1"/>
    <w:qFormat/>
    <w:rsid w:val="00F25A93"/>
    <w:pPr>
      <w:spacing w:after="600"/>
      <w:contextualSpacing w:val="0"/>
    </w:pPr>
  </w:style>
  <w:style w:type="paragraph" w:styleId="TableBullet1" w:customStyle="1">
    <w:name w:val="Table Bullet 1"/>
    <w:basedOn w:val="Bullet1"/>
    <w:qFormat/>
    <w:rsid w:val="00ED2831"/>
    <w:pPr>
      <w:numPr>
        <w:numId w:val="0"/>
      </w:numPr>
      <w:spacing w:before="60" w:line="220" w:lineRule="atLeast"/>
      <w:ind w:left="284" w:hanging="284"/>
    </w:pPr>
    <w:rPr>
      <w:rFonts w:ascii="Calibri" w:hAnsi="Calibri"/>
      <w:sz w:val="18"/>
    </w:rPr>
  </w:style>
  <w:style w:type="paragraph" w:styleId="TableBullet2" w:customStyle="1">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styleId="TableBullet3" w:customStyle="1">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styleId="TableHeaderRow" w:customStyle="1">
    <w:name w:val="Table Header Row"/>
    <w:basedOn w:val="Normal"/>
    <w:qFormat/>
    <w:rsid w:val="00C06B13"/>
    <w:pPr>
      <w:framePr w:hSpace="180" w:wrap="around" w:hAnchor="margin" w:vAnchor="page" w:y="5061"/>
      <w:spacing w:before="60"/>
    </w:pPr>
    <w:rPr>
      <w:rFonts w:ascii="Calibri" w:hAnsi="Calibri" w:eastAsiaTheme="minorHAnsi" w:cstheme="minorBidi"/>
      <w:b/>
      <w:color w:val="495965" w:themeColor="text2"/>
      <w:szCs w:val="21"/>
    </w:rPr>
  </w:style>
  <w:style w:type="paragraph" w:styleId="TableNumberedList1" w:customStyle="1">
    <w:name w:val="Table Numbered List 1"/>
    <w:basedOn w:val="NumberedList1"/>
    <w:qFormat/>
    <w:rsid w:val="00ED2831"/>
    <w:pPr>
      <w:spacing w:before="60" w:line="220" w:lineRule="atLeast"/>
    </w:pPr>
    <w:rPr>
      <w:rFonts w:ascii="Calibri" w:hAnsi="Calibri"/>
      <w:sz w:val="18"/>
    </w:rPr>
  </w:style>
  <w:style w:type="paragraph" w:styleId="TableNumberedList2" w:customStyle="1">
    <w:name w:val="Table Numbered List 2"/>
    <w:basedOn w:val="NumberedList2"/>
    <w:qFormat/>
    <w:rsid w:val="00ED2831"/>
    <w:pPr>
      <w:spacing w:before="60" w:line="220" w:lineRule="atLeast"/>
    </w:pPr>
    <w:rPr>
      <w:rFonts w:ascii="Calibri" w:hAnsi="Calibri"/>
      <w:sz w:val="18"/>
    </w:rPr>
  </w:style>
  <w:style w:type="paragraph" w:styleId="TableNumberedList3" w:customStyle="1">
    <w:name w:val="Table Numbered List 3"/>
    <w:basedOn w:val="NumberedList3"/>
    <w:qFormat/>
    <w:rsid w:val="00ED2831"/>
    <w:pPr>
      <w:spacing w:before="60" w:line="220" w:lineRule="atLeast"/>
      <w:ind w:left="851"/>
    </w:pPr>
    <w:rPr>
      <w:rFonts w:ascii="Calibri" w:hAnsi="Calibri"/>
      <w:sz w:val="18"/>
    </w:rPr>
  </w:style>
  <w:style w:type="paragraph" w:styleId="TableSourceNotes" w:customStyle="1">
    <w:name w:val="Table Source Notes"/>
    <w:basedOn w:val="Normal"/>
    <w:qFormat/>
    <w:rsid w:val="00ED2831"/>
    <w:pPr>
      <w:tabs>
        <w:tab w:val="left" w:pos="284"/>
      </w:tabs>
      <w:spacing w:line="160" w:lineRule="atLeast"/>
      <w:ind w:left="284" w:hanging="284"/>
      <w:contextualSpacing/>
    </w:pPr>
    <w:rPr>
      <w:rFonts w:asciiTheme="minorHAnsi" w:hAnsiTheme="minorHAnsi" w:eastAsiaTheme="minorHAnsi" w:cstheme="minorBidi"/>
      <w:color w:val="495965" w:themeColor="text2"/>
      <w:sz w:val="12"/>
    </w:rPr>
  </w:style>
  <w:style w:type="paragraph" w:styleId="TableTotalRow" w:customStyle="1">
    <w:name w:val="Table Total Row"/>
    <w:basedOn w:val="Normal"/>
    <w:qFormat/>
    <w:rsid w:val="00CF07BA"/>
    <w:pPr>
      <w:spacing w:before="60"/>
    </w:pPr>
    <w:rPr>
      <w:rFonts w:ascii="Calibri" w:hAnsi="Calibri" w:eastAsiaTheme="minorHAnsi" w:cstheme="minorBidi"/>
      <w:b/>
      <w:color w:val="FFFFFF" w:themeColor="background1"/>
    </w:rPr>
  </w:style>
  <w:style w:type="paragraph" w:styleId="BoxHeading" w:customStyle="1">
    <w:name w:val="Box Heading"/>
    <w:basedOn w:val="Heading3"/>
    <w:qFormat/>
    <w:locked/>
    <w:rsid w:val="00ED2831"/>
    <w:pPr>
      <w:spacing w:before="60"/>
    </w:pPr>
  </w:style>
  <w:style w:type="paragraph" w:styleId="QuoteAuthor" w:customStyle="1">
    <w:name w:val="Quote Author"/>
    <w:basedOn w:val="Quote"/>
    <w:qFormat/>
    <w:rsid w:val="00D64BD1"/>
    <w:pPr>
      <w:spacing w:after="60" w:line="200" w:lineRule="atLeast"/>
    </w:pPr>
    <w:rPr>
      <w:sz w:val="16"/>
    </w:rPr>
  </w:style>
  <w:style w:type="paragraph" w:styleId="TableText" w:customStyle="1">
    <w:name w:val="Table Text"/>
    <w:basedOn w:val="Normal"/>
    <w:qFormat/>
    <w:rsid w:val="0080204D"/>
    <w:pPr>
      <w:framePr w:hSpace="180" w:wrap="around" w:hAnchor="margin" w:vAnchor="page" w:y="5061"/>
      <w:spacing w:before="60"/>
    </w:pPr>
    <w:rPr>
      <w:rFonts w:ascii="Calibri" w:hAnsi="Calibri" w:eastAsiaTheme="minorHAnsi" w:cstheme="minorBidi"/>
      <w:color w:val="495965" w:themeColor="text2"/>
      <w:szCs w:val="21"/>
    </w:rPr>
  </w:style>
  <w:style w:type="paragraph" w:styleId="PhotoCredit" w:customStyle="1">
    <w:name w:val="Photo Credit"/>
    <w:basedOn w:val="Normal"/>
    <w:qFormat/>
    <w:rsid w:val="00A80F95"/>
    <w:pPr>
      <w:spacing w:after="200" w:line="160" w:lineRule="atLeast"/>
      <w:jc w:val="right"/>
    </w:pPr>
    <w:rPr>
      <w:rFonts w:asciiTheme="minorHAnsi" w:hAnsiTheme="minorHAnsi" w:eastAsiaTheme="minorHAnsi" w:cstheme="minorBidi"/>
      <w:color w:val="495965" w:themeColor="text2"/>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eastAsiaTheme="minorHAnsi"/>
      <w:color w:val="495965" w:themeColor="text2"/>
      <w:sz w:val="16"/>
      <w:szCs w:val="16"/>
    </w:rPr>
  </w:style>
  <w:style w:type="character" w:styleId="BalloonTextChar" w:customStyle="1">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styleId="SpacebeforeTitle" w:customStyle="1">
    <w:name w:val="Space before Title"/>
    <w:basedOn w:val="Normal"/>
    <w:qFormat/>
    <w:rsid w:val="00B33C0A"/>
    <w:pPr>
      <w:spacing w:after="900"/>
    </w:pPr>
    <w:rPr>
      <w:rFonts w:asciiTheme="minorHAnsi" w:hAnsiTheme="minorHAnsi" w:eastAsiaTheme="minorHAnsi" w:cstheme="minorBidi"/>
      <w:color w:val="495965" w:themeColor="text2"/>
    </w:rPr>
  </w:style>
  <w:style w:type="paragraph" w:styleId="Box1Text" w:customStyle="1">
    <w:name w:val="Box 1 Text"/>
    <w:basedOn w:val="Normal"/>
    <w:qFormat/>
    <w:rsid w:val="00E8296D"/>
    <w:pPr>
      <w:pBdr>
        <w:top w:val="single" w:color="65C5B4" w:themeColor="accent1" w:sz="4" w:space="14"/>
        <w:left w:val="single" w:color="65C5B4" w:themeColor="accent1" w:sz="4" w:space="14"/>
        <w:bottom w:val="single" w:color="65C5B4" w:themeColor="accent1" w:sz="4" w:space="14"/>
        <w:right w:val="single" w:color="65C5B4" w:themeColor="accent1" w:sz="4" w:space="14"/>
      </w:pBdr>
      <w:shd w:val="clear" w:color="auto" w:fill="FFFFFF" w:themeFill="background1"/>
      <w:spacing w:before="180" w:after="80" w:line="240" w:lineRule="atLeast"/>
      <w:ind w:left="284" w:right="284"/>
    </w:pPr>
    <w:rPr>
      <w:rFonts w:asciiTheme="minorHAnsi" w:hAnsiTheme="minorHAnsi" w:eastAsiaTheme="minorHAnsi" w:cstheme="minorBidi"/>
      <w:color w:val="495965" w:themeColor="text2"/>
      <w:sz w:val="20"/>
      <w:lang w:val="en-AU"/>
    </w:rPr>
  </w:style>
  <w:style w:type="paragraph" w:styleId="Box1Heading" w:customStyle="1">
    <w:name w:val="Box 1 Heading"/>
    <w:basedOn w:val="Box1Text"/>
    <w:qFormat/>
    <w:rsid w:val="00E8296D"/>
    <w:pPr>
      <w:keepNext/>
      <w:spacing w:line="300" w:lineRule="atLeast"/>
    </w:pPr>
    <w:rPr>
      <w:b/>
      <w:sz w:val="26"/>
    </w:rPr>
  </w:style>
  <w:style w:type="paragraph" w:styleId="Box2Text" w:customStyle="1">
    <w:name w:val="Box 2 Text"/>
    <w:basedOn w:val="Box1Text"/>
    <w:qFormat/>
    <w:rsid w:val="00522396"/>
    <w:pPr>
      <w:pBdr>
        <w:top w:val="single" w:color="495965" w:themeColor="text2" w:sz="4" w:space="14"/>
        <w:left w:val="single" w:color="495965" w:themeColor="text2" w:sz="4" w:space="14"/>
        <w:bottom w:val="single" w:color="495965" w:themeColor="text2" w:sz="4" w:space="14"/>
        <w:right w:val="single" w:color="495965" w:themeColor="text2" w:sz="4" w:space="14"/>
      </w:pBdr>
      <w:shd w:val="clear" w:color="auto" w:fill="495965" w:themeFill="text2"/>
    </w:pPr>
    <w:rPr>
      <w:color w:val="FFFFFF" w:themeColor="background1"/>
    </w:rPr>
  </w:style>
  <w:style w:type="paragraph" w:styleId="Box2Heading" w:customStyle="1">
    <w:name w:val="Box 2 Heading"/>
    <w:basedOn w:val="Box2Text"/>
    <w:qFormat/>
    <w:rsid w:val="00E8296D"/>
    <w:pPr>
      <w:keepNext/>
      <w:spacing w:line="300" w:lineRule="atLeast"/>
    </w:pPr>
    <w:rPr>
      <w:b/>
      <w:sz w:val="26"/>
    </w:rPr>
  </w:style>
  <w:style w:type="paragraph" w:styleId="Box1Bullet" w:customStyle="1">
    <w:name w:val="Box 1 Bullet"/>
    <w:basedOn w:val="Box1Text"/>
    <w:qFormat/>
    <w:rsid w:val="00C42541"/>
    <w:pPr>
      <w:numPr>
        <w:numId w:val="31"/>
      </w:numPr>
      <w:ind w:left="454" w:hanging="170"/>
    </w:pPr>
  </w:style>
  <w:style w:type="paragraph" w:styleId="Box2Bullet" w:customStyle="1">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rPr>
      <w:rFonts w:asciiTheme="minorHAnsi" w:hAnsiTheme="minorHAnsi" w:eastAsiaTheme="minorHAnsi" w:cstheme="minorBidi"/>
      <w:color w:val="495965" w:themeColor="text2"/>
    </w:rPr>
  </w:style>
  <w:style w:type="character" w:styleId="BodyTextChar" w:customStyle="1">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rPr>
      <w:rFonts w:asciiTheme="minorHAnsi" w:hAnsiTheme="minorHAnsi" w:eastAsiaTheme="minorHAnsi" w:cstheme="minorBidi"/>
      <w:color w:val="495965" w:themeColor="text2"/>
    </w:rPr>
  </w:style>
  <w:style w:type="character" w:styleId="BodyText2Char" w:customStyle="1">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rFonts w:asciiTheme="minorHAnsi" w:hAnsiTheme="minorHAnsi" w:eastAsiaTheme="minorHAnsi" w:cstheme="minorBidi"/>
      <w:color w:val="495965" w:themeColor="text2"/>
      <w:sz w:val="16"/>
      <w:szCs w:val="16"/>
    </w:rPr>
  </w:style>
  <w:style w:type="character" w:styleId="BodyText3Char" w:customStyle="1">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styleId="BodyTextFirstIndentChar" w:customStyle="1">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rPr>
      <w:rFonts w:asciiTheme="minorHAnsi" w:hAnsiTheme="minorHAnsi" w:eastAsiaTheme="minorHAnsi" w:cstheme="minorBidi"/>
      <w:color w:val="495965" w:themeColor="text2"/>
    </w:rPr>
  </w:style>
  <w:style w:type="character" w:styleId="BodyTextIndentChar" w:customStyle="1">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styleId="BodyTextFirstIndent2Char" w:customStyle="1">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color="65C5B4" w:themeColor="accent1" w:sz="2" w:space="10"/>
        <w:left w:val="single" w:color="65C5B4" w:themeColor="accent1" w:sz="2" w:space="10"/>
        <w:bottom w:val="single" w:color="65C5B4" w:themeColor="accent1" w:sz="2" w:space="10"/>
        <w:right w:val="single" w:color="65C5B4" w:themeColor="accent1" w:sz="2" w:space="10"/>
      </w:pBdr>
      <w:ind w:left="1152" w:right="1152"/>
    </w:pPr>
    <w:rPr>
      <w:rFonts w:asciiTheme="minorHAnsi" w:hAnsiTheme="minorHAnsi" w:eastAsiaTheme="minorEastAsia" w:cstheme="minorBidi"/>
      <w:i/>
      <w:iCs/>
      <w:color w:val="65C5B4" w:themeColor="accent1"/>
    </w:rPr>
  </w:style>
  <w:style w:type="table" w:styleId="DFATTable2" w:customStyle="1">
    <w:name w:val="DFAT Table 2"/>
    <w:basedOn w:val="TableNormal"/>
    <w:uiPriority w:val="99"/>
    <w:rsid w:val="00482AE8"/>
    <w:pPr>
      <w:spacing w:after="0" w:line="260" w:lineRule="atLeast"/>
    </w:pPr>
    <w:rPr>
      <w:rFonts w:ascii="Calibri" w:hAnsi="Calibri"/>
      <w:color w:val="495965" w:themeColor="text2"/>
    </w:rPr>
    <w:tblPr>
      <w:tblBorders>
        <w:top w:val="single" w:color="F6F6F8" w:sz="4" w:space="0"/>
        <w:bottom w:val="single" w:color="F6F6F8" w:sz="4" w:space="0"/>
        <w:insideH w:val="single" w:color="F6F6F8" w:sz="4" w:space="0"/>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rFonts w:asciiTheme="minorHAnsi" w:hAnsiTheme="minorHAnsi" w:eastAsiaTheme="minorHAnsi" w:cstheme="minorBidi"/>
      <w:color w:val="495965" w:themeColor="text2"/>
      <w:sz w:val="20"/>
      <w:szCs w:val="20"/>
    </w:rPr>
  </w:style>
  <w:style w:type="character" w:styleId="CommentTextChar" w:customStyle="1">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styleId="CommentSubjectChar" w:customStyle="1">
    <w:name w:val="Comment Subject Char"/>
    <w:basedOn w:val="CommentTextChar"/>
    <w:link w:val="CommentSubject"/>
    <w:uiPriority w:val="99"/>
    <w:semiHidden/>
    <w:rsid w:val="005204D2"/>
    <w:rPr>
      <w:b/>
      <w:bCs/>
      <w:color w:val="495965" w:themeColor="text2"/>
      <w:sz w:val="20"/>
      <w:szCs w:val="20"/>
      <w:lang w:val="en-GB"/>
    </w:rPr>
  </w:style>
  <w:style w:type="character" w:styleId="ColourAccent1" w:customStyle="1">
    <w:name w:val="Colour Accent 1"/>
    <w:basedOn w:val="DefaultParagraphFont"/>
    <w:uiPriority w:val="1"/>
    <w:qFormat/>
    <w:locked/>
    <w:rsid w:val="001214BE"/>
    <w:rPr>
      <w:color w:val="65C5B4" w:themeColor="accent1"/>
    </w:rPr>
  </w:style>
  <w:style w:type="paragraph" w:styleId="EndnoteText">
    <w:name w:val="endnote text"/>
    <w:basedOn w:val="Normal"/>
    <w:link w:val="EndnoteTextChar"/>
    <w:uiPriority w:val="99"/>
    <w:semiHidden/>
    <w:unhideWhenUsed/>
    <w:rsid w:val="00D74E8D"/>
    <w:pPr>
      <w:spacing w:before="0" w:after="0" w:line="240" w:lineRule="auto"/>
    </w:pPr>
    <w:rPr>
      <w:rFonts w:asciiTheme="minorHAnsi" w:hAnsiTheme="minorHAnsi" w:eastAsiaTheme="minorHAnsi" w:cstheme="minorBidi"/>
      <w:color w:val="495965" w:themeColor="text2"/>
      <w:sz w:val="20"/>
      <w:szCs w:val="20"/>
    </w:rPr>
  </w:style>
  <w:style w:type="character" w:styleId="EndnoteTextChar" w:customStyle="1">
    <w:name w:val="Endnote Text Char"/>
    <w:basedOn w:val="DefaultParagraphFont"/>
    <w:link w:val="EndnoteText"/>
    <w:uiPriority w:val="99"/>
    <w:semiHidden/>
    <w:rsid w:val="00D74E8D"/>
    <w:rPr>
      <w:color w:val="495965" w:themeColor="text2"/>
      <w:sz w:val="20"/>
      <w:szCs w:val="20"/>
      <w:lang w:val="en-GB"/>
    </w:rPr>
  </w:style>
  <w:style w:type="character" w:styleId="EndnoteReference">
    <w:name w:val="endnote reference"/>
    <w:basedOn w:val="DefaultParagraphFont"/>
    <w:uiPriority w:val="99"/>
    <w:semiHidden/>
    <w:unhideWhenUsed/>
    <w:rsid w:val="00D74E8D"/>
    <w:rPr>
      <w:vertAlign w:val="superscript"/>
    </w:rPr>
  </w:style>
  <w:style w:type="character" w:styleId="Bullet1Char" w:customStyle="1">
    <w:name w:val="Bullet 1 Char"/>
    <w:link w:val="Bullet1"/>
    <w:locked/>
    <w:rsid w:val="00D74E8D"/>
    <w:rPr>
      <w:color w:val="495965" w:themeColor="text2"/>
      <w:lang w:val="en-GB"/>
    </w:rPr>
  </w:style>
  <w:style w:type="character" w:styleId="FollowedHyperlink">
    <w:name w:val="FollowedHyperlink"/>
    <w:basedOn w:val="DefaultParagraphFont"/>
    <w:uiPriority w:val="99"/>
    <w:semiHidden/>
    <w:unhideWhenUsed/>
    <w:rsid w:val="00904DF9"/>
    <w:rPr>
      <w:color w:val="800080" w:themeColor="followedHyperlink"/>
      <w:u w:val="single"/>
    </w:rPr>
  </w:style>
  <w:style w:type="paragraph" w:styleId="ListParagraph">
    <w:name w:val="List Paragraph"/>
    <w:basedOn w:val="Normal"/>
    <w:uiPriority w:val="34"/>
    <w:qFormat/>
    <w:locked/>
    <w:rsid w:val="00334E20"/>
    <w:pPr>
      <w:ind w:left="720"/>
      <w:contextualSpacing/>
    </w:pPr>
    <w:rPr>
      <w:rFonts w:asciiTheme="minorHAnsi" w:hAnsiTheme="minorHAnsi" w:eastAsiaTheme="minorHAnsi" w:cstheme="minorBidi"/>
      <w:color w:val="495965" w:themeColor="text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79619">
      <w:bodyDiv w:val="1"/>
      <w:marLeft w:val="0"/>
      <w:marRight w:val="0"/>
      <w:marTop w:val="0"/>
      <w:marBottom w:val="0"/>
      <w:divBdr>
        <w:top w:val="none" w:sz="0" w:space="0" w:color="auto"/>
        <w:left w:val="none" w:sz="0" w:space="0" w:color="auto"/>
        <w:bottom w:val="none" w:sz="0" w:space="0" w:color="auto"/>
        <w:right w:val="none" w:sz="0" w:space="0" w:color="auto"/>
      </w:divBdr>
    </w:div>
    <w:div w:id="336423511">
      <w:bodyDiv w:val="1"/>
      <w:marLeft w:val="0"/>
      <w:marRight w:val="0"/>
      <w:marTop w:val="0"/>
      <w:marBottom w:val="0"/>
      <w:divBdr>
        <w:top w:val="none" w:sz="0" w:space="0" w:color="auto"/>
        <w:left w:val="none" w:sz="0" w:space="0" w:color="auto"/>
        <w:bottom w:val="none" w:sz="0" w:space="0" w:color="auto"/>
        <w:right w:val="none" w:sz="0" w:space="0" w:color="auto"/>
      </w:divBdr>
    </w:div>
    <w:div w:id="863834355">
      <w:bodyDiv w:val="1"/>
      <w:marLeft w:val="0"/>
      <w:marRight w:val="0"/>
      <w:marTop w:val="0"/>
      <w:marBottom w:val="0"/>
      <w:divBdr>
        <w:top w:val="none" w:sz="0" w:space="0" w:color="auto"/>
        <w:left w:val="none" w:sz="0" w:space="0" w:color="auto"/>
        <w:bottom w:val="none" w:sz="0" w:space="0" w:color="auto"/>
        <w:right w:val="none" w:sz="0" w:space="0" w:color="auto"/>
      </w:divBdr>
    </w:div>
    <w:div w:id="876742570">
      <w:bodyDiv w:val="1"/>
      <w:marLeft w:val="0"/>
      <w:marRight w:val="0"/>
      <w:marTop w:val="0"/>
      <w:marBottom w:val="0"/>
      <w:divBdr>
        <w:top w:val="none" w:sz="0" w:space="0" w:color="auto"/>
        <w:left w:val="none" w:sz="0" w:space="0" w:color="auto"/>
        <w:bottom w:val="none" w:sz="0" w:space="0" w:color="auto"/>
        <w:right w:val="none" w:sz="0" w:space="0" w:color="auto"/>
      </w:divBdr>
    </w:div>
    <w:div w:id="1532187679">
      <w:bodyDiv w:val="1"/>
      <w:marLeft w:val="0"/>
      <w:marRight w:val="0"/>
      <w:marTop w:val="0"/>
      <w:marBottom w:val="0"/>
      <w:divBdr>
        <w:top w:val="none" w:sz="0" w:space="0" w:color="auto"/>
        <w:left w:val="none" w:sz="0" w:space="0" w:color="auto"/>
        <w:bottom w:val="none" w:sz="0" w:space="0" w:color="auto"/>
        <w:right w:val="none" w:sz="0" w:space="0" w:color="auto"/>
      </w:divBdr>
    </w:div>
    <w:div w:id="15886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foreignarrangements.gov.au"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3DDB64D5A40948B0896202F60F6F0D" ma:contentTypeVersion="7" ma:contentTypeDescription="Create a new document." ma:contentTypeScope="" ma:versionID="d7f6d5581582fb07aac59c8838959dfc">
  <xsd:schema xmlns:xsd="http://www.w3.org/2001/XMLSchema" xmlns:xs="http://www.w3.org/2001/XMLSchema" xmlns:p="http://schemas.microsoft.com/office/2006/metadata/properties" xmlns:ns2="719c4cb4-f28f-46be-b152-e209daf8d018" xmlns:ns3="f2512369-2b23-41fa-aee6-0b13e1403fef" targetNamespace="http://schemas.microsoft.com/office/2006/metadata/properties" ma:root="true" ma:fieldsID="59cf83a6535b5b5d9625e4d0fdf93c6b" ns2:_="" ns3:_="">
    <xsd:import namespace="719c4cb4-f28f-46be-b152-e209daf8d018"/>
    <xsd:import namespace="f2512369-2b23-41fa-aee6-0b13e1403f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c4cb4-f28f-46be-b152-e209daf8d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12369-2b23-41fa-aee6-0b13e1403f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2F546-5B8A-48CC-821B-A03A9C228DC2}">
  <ds:schemaRefs>
    <ds:schemaRef ds:uri="http://schemas.microsoft.com/sharepoint/v3/contenttype/forms"/>
  </ds:schemaRefs>
</ds:datastoreItem>
</file>

<file path=customXml/itemProps2.xml><?xml version="1.0" encoding="utf-8"?>
<ds:datastoreItem xmlns:ds="http://schemas.openxmlformats.org/officeDocument/2006/customXml" ds:itemID="{3B871CB1-6AC3-456F-8190-B28E4B709430}">
  <ds:schemaRefs>
    <ds:schemaRef ds:uri="http://purl.org/dc/dcmitype/"/>
    <ds:schemaRef ds:uri="f2512369-2b23-41fa-aee6-0b13e1403fef"/>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19c4cb4-f28f-46be-b152-e209daf8d018"/>
    <ds:schemaRef ds:uri="http://www.w3.org/XML/1998/namespace"/>
  </ds:schemaRefs>
</ds:datastoreItem>
</file>

<file path=customXml/itemProps3.xml><?xml version="1.0" encoding="utf-8"?>
<ds:datastoreItem xmlns:ds="http://schemas.openxmlformats.org/officeDocument/2006/customXml" ds:itemID="{71388C5F-A3E8-42CE-BEB0-A08B8486D9A0}">
  <ds:schemaRefs>
    <ds:schemaRef ds:uri="http://schemas.openxmlformats.org/officeDocument/2006/bibliography"/>
  </ds:schemaRefs>
</ds:datastoreItem>
</file>

<file path=customXml/itemProps4.xml><?xml version="1.0" encoding="utf-8"?>
<ds:datastoreItem xmlns:ds="http://schemas.openxmlformats.org/officeDocument/2006/customXml" ds:itemID="{35D2565D-9D96-4B57-983E-49EEACF4D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c4cb4-f28f-46be-b152-e209daf8d018"/>
    <ds:schemaRef ds:uri="f2512369-2b23-41fa-aee6-0b13e1403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[SEC=OFFICIAL]</keywords>
  <lastModifiedBy>Courtney Seal</lastModifiedBy>
  <revision>10</revision>
  <dcterms:created xsi:type="dcterms:W3CDTF">2021-04-13T05:01:00.0000000Z</dcterms:created>
  <dcterms:modified xsi:type="dcterms:W3CDTF">2022-01-16T22:31:24.1602880Z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5e245da4-4879-4845-b7ab-f0185dec77a0</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CFBCF078645C42AB9CAEC265FE6D2169</vt:lpwstr>
  </property>
  <property fmtid="{D5CDD505-2E9C-101B-9397-08002B2CF9AE}" pid="11" name="PM_ProtectiveMarkingValue_Footer">
    <vt:lpwstr>OFFICIAL</vt:lpwstr>
  </property>
  <property fmtid="{D5CDD505-2E9C-101B-9397-08002B2CF9AE}" pid="12" name="PM_Originator_Hash_SHA1">
    <vt:lpwstr>2AC52E1EFCE566CBB350EA7C6B5EB22D26EDC1BC</vt:lpwstr>
  </property>
  <property fmtid="{D5CDD505-2E9C-101B-9397-08002B2CF9AE}" pid="13" name="PM_OriginationTimeStamp">
    <vt:lpwstr>2021-09-20T06:35:02Z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5A4BF7AE23AAEAD436437405EC61E3C1</vt:lpwstr>
  </property>
  <property fmtid="{D5CDD505-2E9C-101B-9397-08002B2CF9AE}" pid="23" name="PM_Hash_Salt">
    <vt:lpwstr>A95189F4226991DD8D0F8A8CB397F9FE</vt:lpwstr>
  </property>
  <property fmtid="{D5CDD505-2E9C-101B-9397-08002B2CF9AE}" pid="24" name="PM_Hash_SHA1">
    <vt:lpwstr>C68F957004E3C50F280C0141324F39F16A709567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0x010100F63DDB64D5A40948B0896202F60F6F0D</vt:lpwstr>
  </property>
</Properties>
</file>