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C62573" w14:textId="5CBDC83A" w:rsidR="007619E0" w:rsidRDefault="00115AEF" w:rsidP="007619E0">
      <w:pPr>
        <w:pStyle w:val="Title"/>
        <w:spacing w:before="120" w:line="240" w:lineRule="auto"/>
        <w:ind w:left="-709" w:right="-709"/>
        <w:contextualSpacing w:val="0"/>
        <w:jc w:val="center"/>
        <w:rPr>
          <w:sz w:val="32"/>
          <w:szCs w:val="32"/>
        </w:rPr>
      </w:pPr>
      <w:r w:rsidRPr="000C1D20">
        <w:rPr>
          <w:sz w:val="2"/>
          <w:szCs w:val="32"/>
        </w:rPr>
        <w:br/>
      </w:r>
      <w:bookmarkStart w:id="0" w:name="_Hlk56093685"/>
      <w:r w:rsidR="007619E0" w:rsidRPr="00A238F1">
        <w:rPr>
          <w:sz w:val="32"/>
          <w:szCs w:val="32"/>
        </w:rPr>
        <w:t xml:space="preserve">Australia’s Foreign Relations </w:t>
      </w:r>
    </w:p>
    <w:p w14:paraId="289773D0" w14:textId="51037CDB" w:rsidR="007619E0" w:rsidRPr="00A238F1" w:rsidRDefault="007619E0" w:rsidP="007619E0">
      <w:pPr>
        <w:pStyle w:val="Title"/>
        <w:spacing w:line="240" w:lineRule="auto"/>
        <w:ind w:left="-709" w:right="-709"/>
        <w:contextualSpacing w:val="0"/>
        <w:jc w:val="center"/>
        <w:rPr>
          <w:sz w:val="32"/>
          <w:szCs w:val="32"/>
        </w:rPr>
      </w:pPr>
      <w:r w:rsidRPr="00A238F1">
        <w:rPr>
          <w:sz w:val="32"/>
          <w:szCs w:val="32"/>
        </w:rPr>
        <w:t xml:space="preserve">(State and Territory Arrangements) </w:t>
      </w:r>
      <w:r w:rsidR="00B477F5">
        <w:rPr>
          <w:sz w:val="32"/>
          <w:szCs w:val="32"/>
        </w:rPr>
        <w:t xml:space="preserve">Act </w:t>
      </w:r>
      <w:r>
        <w:rPr>
          <w:sz w:val="32"/>
          <w:szCs w:val="32"/>
        </w:rPr>
        <w:t>2020</w:t>
      </w:r>
    </w:p>
    <w:p w14:paraId="5542AD88" w14:textId="6140B833" w:rsidR="007619E0" w:rsidRPr="008142BA" w:rsidRDefault="00801A2D" w:rsidP="008142BA">
      <w:pPr>
        <w:suppressAutoHyphens w:val="0"/>
        <w:spacing w:before="0" w:after="0" w:line="240" w:lineRule="auto"/>
        <w:jc w:val="center"/>
        <w:rPr>
          <w:rFonts w:ascii="Times New Roman" w:hAnsi="Times New Roman" w:cs="Times New Roman"/>
          <w:color w:val="auto"/>
          <w:sz w:val="24"/>
          <w:szCs w:val="24"/>
          <w:lang w:val="en-AU" w:eastAsia="en-AU"/>
        </w:rPr>
      </w:pPr>
      <w:r>
        <w:rPr>
          <w:sz w:val="32"/>
          <w:szCs w:val="32"/>
        </w:rPr>
        <w:t xml:space="preserve">FREQUENTLY ASKED QUESTIONS </w:t>
      </w:r>
      <w:r w:rsidR="007619E0">
        <w:rPr>
          <w:sz w:val="32"/>
          <w:szCs w:val="32"/>
        </w:rPr>
        <w:t>– AUSTRALIAN UNIVERSITIES</w:t>
      </w:r>
      <w:r w:rsidR="00B477F5" w:rsidRPr="00B477F5">
        <w:rPr>
          <w:rStyle w:val="Heading3Char"/>
          <w:sz w:val="32"/>
          <w:szCs w:val="32"/>
        </w:rPr>
        <w:t xml:space="preserve"> </w:t>
      </w:r>
      <w:r w:rsidR="00B81F47">
        <w:rPr>
          <w:rStyle w:val="EndnoteReference"/>
          <w:sz w:val="32"/>
          <w:szCs w:val="32"/>
        </w:rPr>
        <w:endnoteReference w:id="1"/>
      </w:r>
      <w:r w:rsidR="00B81F47">
        <w:rPr>
          <w:rFonts w:ascii="Times New Roman" w:hAnsi="Times New Roman" w:cs="Times New Roman"/>
          <w:color w:val="auto"/>
          <w:sz w:val="24"/>
          <w:szCs w:val="24"/>
          <w:lang w:val="en-AU" w:eastAsia="en-AU"/>
        </w:rPr>
        <w:t xml:space="preserve"> </w:t>
      </w:r>
    </w:p>
    <w:bookmarkEnd w:id="0"/>
    <w:p w14:paraId="5963D40C" w14:textId="77777777" w:rsidR="00207181" w:rsidRDefault="00207181" w:rsidP="00770F4B">
      <w:pPr>
        <w:keepNext/>
        <w:keepLines/>
        <w:spacing w:before="0" w:after="120" w:line="220" w:lineRule="atLeast"/>
        <w:outlineLvl w:val="2"/>
        <w:rPr>
          <w:rFonts w:ascii="Calibri" w:eastAsia="Times New Roman" w:hAnsi="Calibri" w:cs="Times New Roman"/>
          <w:bCs/>
          <w:sz w:val="30"/>
          <w:szCs w:val="26"/>
        </w:rPr>
      </w:pPr>
    </w:p>
    <w:p w14:paraId="01998CD2" w14:textId="7ABC1519" w:rsidR="00C03677" w:rsidRPr="00801A2D" w:rsidRDefault="007A747C" w:rsidP="00770F4B">
      <w:pPr>
        <w:keepNext/>
        <w:keepLines/>
        <w:spacing w:before="0" w:after="120" w:line="220" w:lineRule="atLeast"/>
        <w:outlineLvl w:val="2"/>
        <w:rPr>
          <w:rFonts w:ascii="Calibri" w:eastAsia="Times New Roman" w:hAnsi="Calibri" w:cs="Times New Roman"/>
          <w:bCs/>
          <w:sz w:val="30"/>
          <w:szCs w:val="26"/>
        </w:rPr>
      </w:pPr>
      <w:r>
        <w:rPr>
          <w:rFonts w:ascii="Calibri" w:eastAsia="Times New Roman" w:hAnsi="Calibri" w:cs="Times New Roman"/>
          <w:bCs/>
          <w:sz w:val="30"/>
          <w:szCs w:val="26"/>
        </w:rPr>
        <w:t xml:space="preserve">Questions regarding the scope of the Foreign Arrangements </w:t>
      </w:r>
      <w:r w:rsidR="00770F4B">
        <w:rPr>
          <w:rFonts w:ascii="Calibri" w:eastAsia="Times New Roman" w:hAnsi="Calibri" w:cs="Times New Roman"/>
          <w:bCs/>
          <w:sz w:val="30"/>
          <w:szCs w:val="26"/>
        </w:rPr>
        <w:t>Scheme</w:t>
      </w:r>
    </w:p>
    <w:p w14:paraId="49E6C67F" w14:textId="5B1F8F2F" w:rsidR="00163A77" w:rsidRPr="00163A77" w:rsidRDefault="00163A77" w:rsidP="00163A77">
      <w:pPr>
        <w:rPr>
          <w:color w:val="auto"/>
          <w:lang w:val="en-AU"/>
        </w:rPr>
      </w:pPr>
      <w:r>
        <w:rPr>
          <w:b/>
          <w:bCs/>
        </w:rPr>
        <w:t>What is considered a ‘university’</w:t>
      </w:r>
      <w:r w:rsidR="005D615E">
        <w:rPr>
          <w:b/>
          <w:bCs/>
        </w:rPr>
        <w:t xml:space="preserve"> located in a foreign country</w:t>
      </w:r>
      <w:r>
        <w:rPr>
          <w:b/>
          <w:bCs/>
        </w:rPr>
        <w:t xml:space="preserve"> under the Scheme?</w:t>
      </w:r>
      <w:r>
        <w:t xml:space="preserve"> </w:t>
      </w:r>
    </w:p>
    <w:p w14:paraId="3734EC88" w14:textId="2A36DE5E" w:rsidR="00163A77" w:rsidRPr="00163A77" w:rsidRDefault="00163A77" w:rsidP="00163A77">
      <w:r w:rsidRPr="00163A77">
        <w:t xml:space="preserve">The Scheme applies the ordinary meaning of ‘university’, which is generally understood to be an institution of higher learning which provides facilities for </w:t>
      </w:r>
      <w:r w:rsidRPr="002A0ACD">
        <w:t xml:space="preserve">teaching </w:t>
      </w:r>
      <w:r w:rsidR="00B64489">
        <w:t>and research and</w:t>
      </w:r>
      <w:r w:rsidR="00800F7C" w:rsidRPr="002A0ACD">
        <w:t xml:space="preserve"> </w:t>
      </w:r>
      <w:r w:rsidRPr="002A0ACD">
        <w:t>is authorised to grant recognised higher education academic qualifications at the undergraduate and/or postgraduate</w:t>
      </w:r>
      <w:r w:rsidRPr="00163A77">
        <w:t xml:space="preserve"> level.</w:t>
      </w:r>
      <w:r w:rsidR="00B64489" w:rsidRPr="00B64489">
        <w:t xml:space="preserve"> </w:t>
      </w:r>
      <w:r w:rsidR="00B64489" w:rsidRPr="00127E6B">
        <w:t xml:space="preserve">Such tertiary institutions do not need to be titled ‘university’ to be in scope and may be referred to by other terms, such as college, institute, </w:t>
      </w:r>
      <w:proofErr w:type="gramStart"/>
      <w:r w:rsidR="00B64489" w:rsidRPr="00127E6B">
        <w:t>academy</w:t>
      </w:r>
      <w:proofErr w:type="gramEnd"/>
      <w:r w:rsidR="00B64489" w:rsidRPr="00127E6B">
        <w:t xml:space="preserve"> or conservatory.</w:t>
      </w:r>
    </w:p>
    <w:p w14:paraId="2E3D7D0F" w14:textId="3E5425D4" w:rsidR="005D2346" w:rsidRPr="005D2346" w:rsidRDefault="005D2346" w:rsidP="005D2346">
      <w:pPr>
        <w:spacing w:after="0" w:line="240" w:lineRule="auto"/>
        <w:rPr>
          <w:b/>
          <w:bCs/>
        </w:rPr>
      </w:pPr>
      <w:r w:rsidRPr="005D2346">
        <w:rPr>
          <w:b/>
          <w:bCs/>
        </w:rPr>
        <w:t>When are foreign education institutions that are not universities captured by the Scheme?</w:t>
      </w:r>
    </w:p>
    <w:p w14:paraId="21701E5D" w14:textId="696192E4" w:rsidR="005D2346" w:rsidRPr="005D2346" w:rsidRDefault="005D2346" w:rsidP="1BA128D6">
      <w:pPr>
        <w:spacing w:after="120" w:line="240" w:lineRule="auto"/>
        <w:rPr>
          <w:rFonts w:eastAsiaTheme="minorEastAsia"/>
        </w:rPr>
      </w:pPr>
      <w:r w:rsidRPr="1BA128D6">
        <w:rPr>
          <w:rFonts w:eastAsiaTheme="minorEastAsia"/>
        </w:rPr>
        <w:t>Foreign education institutions that are not universities may be in scope if they satisfy one of the definitions of ‘foreign entity’ in section 8</w:t>
      </w:r>
      <w:r w:rsidR="00224671" w:rsidRPr="1BA128D6">
        <w:rPr>
          <w:rFonts w:eastAsiaTheme="minorEastAsia"/>
        </w:rPr>
        <w:t xml:space="preserve"> of the Act</w:t>
      </w:r>
      <w:r w:rsidRPr="1BA128D6">
        <w:rPr>
          <w:rFonts w:eastAsiaTheme="minorEastAsia"/>
        </w:rPr>
        <w:t>.</w:t>
      </w:r>
      <w:r w:rsidR="381F0004" w:rsidRPr="1BA128D6">
        <w:rPr>
          <w:rFonts w:eastAsiaTheme="minorEastAsia"/>
        </w:rPr>
        <w:t xml:space="preserve"> </w:t>
      </w:r>
      <w:r w:rsidRPr="1BA128D6">
        <w:rPr>
          <w:rFonts w:eastAsiaTheme="minorEastAsia"/>
        </w:rPr>
        <w:t>The exception to this is paragraph 8(1)(</w:t>
      </w:r>
      <w:proofErr w:type="spellStart"/>
      <w:r w:rsidRPr="1BA128D6">
        <w:rPr>
          <w:rFonts w:eastAsiaTheme="minorEastAsia"/>
        </w:rPr>
        <w:t>i</w:t>
      </w:r>
      <w:proofErr w:type="spellEnd"/>
      <w:r w:rsidRPr="1BA128D6">
        <w:rPr>
          <w:rFonts w:eastAsiaTheme="minorEastAsia"/>
        </w:rPr>
        <w:t>), which only applies to foreign universities.</w:t>
      </w:r>
    </w:p>
    <w:p w14:paraId="65498C7B" w14:textId="2D79DE4A" w:rsidR="005D2346" w:rsidRPr="005D2346" w:rsidRDefault="005D2346" w:rsidP="005D2346">
      <w:pPr>
        <w:spacing w:after="120" w:line="240" w:lineRule="auto"/>
        <w:rPr>
          <w:rFonts w:eastAsiaTheme="minorEastAsia"/>
        </w:rPr>
      </w:pPr>
      <w:r w:rsidRPr="005D2346">
        <w:rPr>
          <w:rFonts w:eastAsiaTheme="minorEastAsia"/>
        </w:rPr>
        <w:t>A foreign education institution would satisfy the definition of ‘foreign entity’ if it is:</w:t>
      </w:r>
    </w:p>
    <w:p w14:paraId="519F3B73" w14:textId="77777777" w:rsidR="005D2346" w:rsidRPr="005D2346" w:rsidRDefault="005D2346" w:rsidP="005D2346">
      <w:pPr>
        <w:pStyle w:val="ListParagraph"/>
        <w:numPr>
          <w:ilvl w:val="0"/>
          <w:numId w:val="20"/>
        </w:numPr>
        <w:spacing w:after="160" w:line="254" w:lineRule="auto"/>
        <w:rPr>
          <w:color w:val="495965" w:themeColor="text2"/>
          <w:lang w:val="en-GB"/>
        </w:rPr>
      </w:pPr>
      <w:r w:rsidRPr="005D2346">
        <w:rPr>
          <w:color w:val="495965" w:themeColor="text2"/>
          <w:lang w:val="en-GB"/>
        </w:rPr>
        <w:t>a Department or agency of a foreign government, under paragraph 8(1)(c)</w:t>
      </w:r>
    </w:p>
    <w:p w14:paraId="64B892C7" w14:textId="516405D7" w:rsidR="005D2346" w:rsidRPr="005D2346" w:rsidRDefault="005D2346" w:rsidP="005D2346">
      <w:pPr>
        <w:pStyle w:val="ListParagraph"/>
        <w:numPr>
          <w:ilvl w:val="0"/>
          <w:numId w:val="20"/>
        </w:numPr>
        <w:spacing w:after="160" w:line="254" w:lineRule="auto"/>
        <w:rPr>
          <w:color w:val="495965" w:themeColor="text2"/>
          <w:lang w:val="en-GB"/>
        </w:rPr>
      </w:pPr>
      <w:r w:rsidRPr="005D2346">
        <w:rPr>
          <w:color w:val="495965" w:themeColor="text2"/>
          <w:lang w:val="en-GB"/>
        </w:rPr>
        <w:t>a Department or agency of a foreign sub-national government, under paragraph 8(1)(g)</w:t>
      </w:r>
      <w:r w:rsidR="00C03677">
        <w:rPr>
          <w:color w:val="495965" w:themeColor="text2"/>
          <w:lang w:val="en-GB"/>
        </w:rPr>
        <w:t>,</w:t>
      </w:r>
      <w:r w:rsidRPr="005D2346">
        <w:rPr>
          <w:color w:val="495965" w:themeColor="text2"/>
          <w:lang w:val="en-GB"/>
        </w:rPr>
        <w:t xml:space="preserve"> or </w:t>
      </w:r>
    </w:p>
    <w:p w14:paraId="17E3BAA1" w14:textId="77777777" w:rsidR="005D2346" w:rsidRPr="005D2346" w:rsidRDefault="005D2346" w:rsidP="005D2346">
      <w:pPr>
        <w:pStyle w:val="ListParagraph"/>
        <w:numPr>
          <w:ilvl w:val="0"/>
          <w:numId w:val="20"/>
        </w:numPr>
        <w:spacing w:after="160" w:line="254" w:lineRule="auto"/>
        <w:rPr>
          <w:color w:val="495965" w:themeColor="text2"/>
          <w:lang w:val="en-GB"/>
        </w:rPr>
      </w:pPr>
      <w:r w:rsidRPr="005D2346">
        <w:rPr>
          <w:color w:val="495965" w:themeColor="text2"/>
          <w:lang w:val="en-GB"/>
        </w:rPr>
        <w:t>an authority of a foreign government entity established for a public purpose, under paragraph 8(1)(h).</w:t>
      </w:r>
    </w:p>
    <w:p w14:paraId="2FD3266E" w14:textId="02719A0A" w:rsidR="005D2346" w:rsidRPr="005D2346" w:rsidRDefault="005D2346" w:rsidP="005D2346">
      <w:pPr>
        <w:spacing w:after="160" w:line="254" w:lineRule="auto"/>
      </w:pPr>
      <w:r>
        <w:t xml:space="preserve">For example, a foreign military academy that is in fact a Department or agency of a foreign national government is considered a ‘foreign entity’ under paragraph 8(1)(c). This will be a question of fact depending on the foreign entity that enters the arrangement. </w:t>
      </w:r>
    </w:p>
    <w:p w14:paraId="6C1306A4" w14:textId="6941D5B5" w:rsidR="00770F4B" w:rsidRPr="009D55EC" w:rsidRDefault="00770F4B" w:rsidP="00770F4B">
      <w:pPr>
        <w:rPr>
          <w:b/>
          <w:bCs/>
        </w:rPr>
      </w:pPr>
      <w:r w:rsidRPr="009D55EC">
        <w:rPr>
          <w:b/>
          <w:bCs/>
        </w:rPr>
        <w:t xml:space="preserve">What are some examples of university business which would </w:t>
      </w:r>
      <w:r w:rsidRPr="00AD657D">
        <w:rPr>
          <w:b/>
          <w:bCs/>
          <w:u w:val="single"/>
        </w:rPr>
        <w:t>not</w:t>
      </w:r>
      <w:r w:rsidRPr="009D55EC">
        <w:rPr>
          <w:b/>
          <w:bCs/>
        </w:rPr>
        <w:t xml:space="preserve"> be considered </w:t>
      </w:r>
      <w:r w:rsidR="00427E6C">
        <w:rPr>
          <w:b/>
          <w:bCs/>
        </w:rPr>
        <w:t>exempt as</w:t>
      </w:r>
      <w:r w:rsidRPr="009D55EC">
        <w:rPr>
          <w:b/>
          <w:bCs/>
        </w:rPr>
        <w:t xml:space="preserve"> minor administrative</w:t>
      </w:r>
      <w:r w:rsidR="00974798">
        <w:rPr>
          <w:b/>
          <w:bCs/>
        </w:rPr>
        <w:t xml:space="preserve"> or logistical</w:t>
      </w:r>
      <w:r w:rsidRPr="009D55EC">
        <w:rPr>
          <w:b/>
          <w:bCs/>
        </w:rPr>
        <w:t xml:space="preserve"> arrangements?</w:t>
      </w:r>
    </w:p>
    <w:p w14:paraId="569E8983" w14:textId="21C0EB5C" w:rsidR="008C7588" w:rsidRPr="005D2346" w:rsidRDefault="008C7588" w:rsidP="1BA128D6">
      <w:pPr>
        <w:rPr>
          <w:i/>
          <w:iCs/>
        </w:rPr>
      </w:pPr>
      <w:r w:rsidRPr="1BA128D6">
        <w:rPr>
          <w:i/>
          <w:iCs/>
        </w:rPr>
        <w:t xml:space="preserve">Note: Refer to ‘Fact sheet 5 – Exemptions’ </w:t>
      </w:r>
    </w:p>
    <w:p w14:paraId="4007F6C6" w14:textId="4330A221" w:rsidR="1BA128D6" w:rsidRDefault="70634820" w:rsidP="00DB75AA">
      <w:pPr>
        <w:spacing w:after="160" w:line="254" w:lineRule="auto"/>
      </w:pPr>
      <w:r w:rsidRPr="1BA128D6">
        <w:t>The Sch</w:t>
      </w:r>
      <w:r w:rsidRPr="00DB75AA">
        <w:t>e</w:t>
      </w:r>
      <w:r w:rsidR="1AAE7DC2" w:rsidRPr="1BA128D6">
        <w:t>me e</w:t>
      </w:r>
      <w:r w:rsidRPr="00DB75AA">
        <w:t xml:space="preserve">xempts foreign arrangements solely dealing with minor administrative or logistical matters. </w:t>
      </w:r>
      <w:proofErr w:type="gramStart"/>
      <w:r w:rsidRPr="00DB75AA">
        <w:t>This captures</w:t>
      </w:r>
      <w:proofErr w:type="gramEnd"/>
      <w:r w:rsidRPr="00DB75AA">
        <w:t>, for example, arrangements dealing with flights, accommodation, submitting paperwork or visa applications or the timing of conferences. This recognises that such arrangements are less likely to pose a risk from a foreign policy or foreign relations perspective</w:t>
      </w:r>
      <w:r w:rsidR="00E10ECA">
        <w:t>. The following examples would not be considered exempt as minor administrative or logistical arrangements:</w:t>
      </w:r>
    </w:p>
    <w:p w14:paraId="2EC3A020" w14:textId="3BC8A0E2" w:rsidR="008C7588" w:rsidRPr="008C7588" w:rsidRDefault="00E10ECA" w:rsidP="008C7588">
      <w:pPr>
        <w:pStyle w:val="ListParagraph"/>
        <w:numPr>
          <w:ilvl w:val="0"/>
          <w:numId w:val="20"/>
        </w:numPr>
        <w:spacing w:after="160" w:line="254" w:lineRule="auto"/>
        <w:rPr>
          <w:color w:val="495965" w:themeColor="text2"/>
          <w:lang w:val="en-GB"/>
        </w:rPr>
      </w:pPr>
      <w:r>
        <w:rPr>
          <w:color w:val="495965" w:themeColor="text2"/>
          <w:lang w:val="en-GB"/>
        </w:rPr>
        <w:t>c</w:t>
      </w:r>
      <w:r w:rsidR="008C7588" w:rsidRPr="1BA128D6">
        <w:rPr>
          <w:color w:val="495965" w:themeColor="text2"/>
          <w:lang w:val="en-GB"/>
        </w:rPr>
        <w:t xml:space="preserve">ollaboration </w:t>
      </w:r>
      <w:r w:rsidR="55D392CE" w:rsidRPr="1BA128D6">
        <w:rPr>
          <w:color w:val="495965" w:themeColor="text2"/>
          <w:lang w:val="en-GB"/>
        </w:rPr>
        <w:t xml:space="preserve">by two universities </w:t>
      </w:r>
      <w:r w:rsidR="008C7588" w:rsidRPr="1BA128D6">
        <w:rPr>
          <w:color w:val="495965" w:themeColor="text2"/>
          <w:lang w:val="en-GB"/>
        </w:rPr>
        <w:t>on research output</w:t>
      </w:r>
    </w:p>
    <w:p w14:paraId="124B6897" w14:textId="21E764AF" w:rsidR="008C7588" w:rsidRPr="008C7588" w:rsidRDefault="008C7588" w:rsidP="008C7588">
      <w:pPr>
        <w:pStyle w:val="ListParagraph"/>
        <w:numPr>
          <w:ilvl w:val="0"/>
          <w:numId w:val="20"/>
        </w:numPr>
        <w:spacing w:after="160" w:line="254" w:lineRule="auto"/>
        <w:rPr>
          <w:color w:val="495965" w:themeColor="text2"/>
          <w:lang w:val="en-GB"/>
        </w:rPr>
      </w:pPr>
      <w:r w:rsidRPr="1BA128D6">
        <w:rPr>
          <w:color w:val="495965" w:themeColor="text2"/>
          <w:lang w:val="en-GB"/>
        </w:rPr>
        <w:t>organising cultural activities</w:t>
      </w:r>
    </w:p>
    <w:p w14:paraId="71F81669" w14:textId="2FB947AC" w:rsidR="008C7588" w:rsidRPr="008C7588" w:rsidRDefault="008C7588" w:rsidP="008C7588">
      <w:pPr>
        <w:pStyle w:val="ListParagraph"/>
        <w:numPr>
          <w:ilvl w:val="0"/>
          <w:numId w:val="20"/>
        </w:numPr>
        <w:spacing w:after="160" w:line="254" w:lineRule="auto"/>
        <w:rPr>
          <w:color w:val="495965" w:themeColor="text2"/>
          <w:lang w:val="en-GB"/>
        </w:rPr>
      </w:pPr>
      <w:r w:rsidRPr="008C7588">
        <w:rPr>
          <w:color w:val="495965" w:themeColor="text2"/>
          <w:lang w:val="en-GB"/>
        </w:rPr>
        <w:t>establishing student exchange and mobility programs</w:t>
      </w:r>
    </w:p>
    <w:p w14:paraId="37AD511D" w14:textId="458AE6A9" w:rsidR="008C7588" w:rsidRPr="008C7588" w:rsidRDefault="008C7588" w:rsidP="008C7588">
      <w:pPr>
        <w:pStyle w:val="ListParagraph"/>
        <w:numPr>
          <w:ilvl w:val="0"/>
          <w:numId w:val="20"/>
        </w:numPr>
        <w:spacing w:after="160" w:line="254" w:lineRule="auto"/>
        <w:rPr>
          <w:color w:val="495965" w:themeColor="text2"/>
          <w:lang w:val="en-GB"/>
        </w:rPr>
      </w:pPr>
      <w:r w:rsidRPr="008C7588">
        <w:rPr>
          <w:color w:val="495965" w:themeColor="text2"/>
          <w:lang w:val="en-GB"/>
        </w:rPr>
        <w:t>establishing scholarship programs</w:t>
      </w:r>
    </w:p>
    <w:p w14:paraId="0F0D96D6" w14:textId="7CBFAC78" w:rsidR="008C7588" w:rsidRPr="008C7588" w:rsidRDefault="008C7588" w:rsidP="008C7588">
      <w:pPr>
        <w:pStyle w:val="ListParagraph"/>
        <w:numPr>
          <w:ilvl w:val="0"/>
          <w:numId w:val="20"/>
        </w:numPr>
        <w:spacing w:after="160" w:line="254" w:lineRule="auto"/>
        <w:rPr>
          <w:color w:val="495965" w:themeColor="text2"/>
          <w:lang w:val="en-GB"/>
        </w:rPr>
      </w:pPr>
      <w:r w:rsidRPr="1BA128D6">
        <w:rPr>
          <w:color w:val="495965" w:themeColor="text2"/>
          <w:lang w:val="en-GB"/>
        </w:rPr>
        <w:t xml:space="preserve">collaboration on a workshop, </w:t>
      </w:r>
      <w:proofErr w:type="gramStart"/>
      <w:r w:rsidRPr="1BA128D6">
        <w:rPr>
          <w:color w:val="495965" w:themeColor="text2"/>
          <w:lang w:val="en-GB"/>
        </w:rPr>
        <w:t>presentation</w:t>
      </w:r>
      <w:proofErr w:type="gramEnd"/>
      <w:r w:rsidRPr="1BA128D6">
        <w:rPr>
          <w:color w:val="495965" w:themeColor="text2"/>
          <w:lang w:val="en-GB"/>
        </w:rPr>
        <w:t xml:space="preserve"> or conference session </w:t>
      </w:r>
    </w:p>
    <w:p w14:paraId="33BF89CC" w14:textId="791B3377" w:rsidR="004720FE" w:rsidRPr="004720FE" w:rsidRDefault="7AFDD3E1" w:rsidP="00C03677">
      <w:pPr>
        <w:keepNext/>
        <w:rPr>
          <w:b/>
          <w:bCs/>
        </w:rPr>
      </w:pPr>
      <w:r w:rsidRPr="1BA128D6">
        <w:rPr>
          <w:b/>
          <w:bCs/>
        </w:rPr>
        <w:lastRenderedPageBreak/>
        <w:t>How does a university determine if an arrangement is a ‘subsidiary arrangement’?</w:t>
      </w:r>
    </w:p>
    <w:p w14:paraId="684329A9" w14:textId="65C0D55A" w:rsidR="004720FE" w:rsidRPr="004720FE" w:rsidRDefault="7AFDD3E1" w:rsidP="00C03677">
      <w:pPr>
        <w:keepNext/>
      </w:pPr>
      <w:r>
        <w:t xml:space="preserve">Section 12 of the Act steps through the definition of a subsidiary arrangement. Key factors to consider are: </w:t>
      </w:r>
    </w:p>
    <w:p w14:paraId="33F38FCA" w14:textId="78E4766B" w:rsidR="004720FE" w:rsidRPr="004720FE" w:rsidRDefault="7AFDD3E1" w:rsidP="1BA128D6">
      <w:pPr>
        <w:pStyle w:val="ListParagraph"/>
        <w:numPr>
          <w:ilvl w:val="0"/>
          <w:numId w:val="20"/>
        </w:numPr>
        <w:spacing w:after="160" w:line="254" w:lineRule="auto"/>
        <w:rPr>
          <w:color w:val="495965" w:themeColor="text2"/>
          <w:lang w:val="en-GB"/>
        </w:rPr>
      </w:pPr>
      <w:r w:rsidRPr="1BA128D6">
        <w:rPr>
          <w:color w:val="495965" w:themeColor="text2"/>
          <w:lang w:val="en-GB"/>
        </w:rPr>
        <w:t xml:space="preserve">if </w:t>
      </w:r>
      <w:r w:rsidR="00E10ECA">
        <w:rPr>
          <w:color w:val="495965" w:themeColor="text2"/>
          <w:lang w:val="en-GB"/>
        </w:rPr>
        <w:t>the arrangement</w:t>
      </w:r>
      <w:r w:rsidRPr="1BA128D6">
        <w:rPr>
          <w:color w:val="495965" w:themeColor="text2"/>
          <w:lang w:val="en-GB"/>
        </w:rPr>
        <w:t xml:space="preserve"> meets the definition of ‘foreign arrangement’ under subsection 6(2) of the Act, it is not considered a subsidiary arrangement </w:t>
      </w:r>
    </w:p>
    <w:p w14:paraId="079FF1D0" w14:textId="4B793C05" w:rsidR="004720FE" w:rsidRPr="004720FE" w:rsidRDefault="7AFDD3E1" w:rsidP="1BA128D6">
      <w:pPr>
        <w:pStyle w:val="ListParagraph"/>
        <w:numPr>
          <w:ilvl w:val="0"/>
          <w:numId w:val="20"/>
        </w:numPr>
        <w:spacing w:after="160" w:line="254" w:lineRule="auto"/>
        <w:rPr>
          <w:color w:val="495965" w:themeColor="text2"/>
          <w:lang w:val="en-GB"/>
        </w:rPr>
      </w:pPr>
      <w:r w:rsidRPr="1BA128D6">
        <w:rPr>
          <w:color w:val="495965" w:themeColor="text2"/>
          <w:lang w:val="en-GB"/>
        </w:rPr>
        <w:t>an arrangement that pre-dates a head foreign arrangement cannot be a subsidiary arrangement</w:t>
      </w:r>
    </w:p>
    <w:p w14:paraId="53438C6C" w14:textId="6F9FEA71" w:rsidR="004720FE" w:rsidRPr="004720FE" w:rsidRDefault="00E10ECA" w:rsidP="1BA128D6">
      <w:pPr>
        <w:pStyle w:val="ListParagraph"/>
        <w:numPr>
          <w:ilvl w:val="0"/>
          <w:numId w:val="20"/>
        </w:numPr>
        <w:spacing w:after="160" w:line="254" w:lineRule="auto"/>
        <w:rPr>
          <w:color w:val="495965" w:themeColor="text2"/>
          <w:lang w:val="en-GB"/>
        </w:rPr>
      </w:pPr>
      <w:r>
        <w:rPr>
          <w:color w:val="495965" w:themeColor="text2"/>
          <w:lang w:val="en-GB"/>
        </w:rPr>
        <w:t>to be a subsidiary arrangement, the arrangement</w:t>
      </w:r>
      <w:r w:rsidR="7AFDD3E1" w:rsidRPr="1BA128D6">
        <w:rPr>
          <w:color w:val="495965" w:themeColor="text2"/>
          <w:lang w:val="en-GB"/>
        </w:rPr>
        <w:t xml:space="preserve"> </w:t>
      </w:r>
      <w:proofErr w:type="gramStart"/>
      <w:r w:rsidR="7AFDD3E1" w:rsidRPr="1BA128D6">
        <w:rPr>
          <w:color w:val="495965" w:themeColor="text2"/>
          <w:lang w:val="en-GB"/>
        </w:rPr>
        <w:t>has to</w:t>
      </w:r>
      <w:proofErr w:type="gramEnd"/>
      <w:r w:rsidR="7AFDD3E1" w:rsidRPr="1BA128D6">
        <w:rPr>
          <w:color w:val="495965" w:themeColor="text2"/>
          <w:lang w:val="en-GB"/>
        </w:rPr>
        <w:t xml:space="preserve"> be entered into under the auspices of the head foreign arrangement. This means it </w:t>
      </w:r>
      <w:proofErr w:type="gramStart"/>
      <w:r w:rsidR="7AFDD3E1" w:rsidRPr="1BA128D6">
        <w:rPr>
          <w:color w:val="495965" w:themeColor="text2"/>
          <w:lang w:val="en-GB"/>
        </w:rPr>
        <w:t>has to</w:t>
      </w:r>
      <w:proofErr w:type="gramEnd"/>
      <w:r w:rsidR="7AFDD3E1" w:rsidRPr="1BA128D6">
        <w:rPr>
          <w:color w:val="495965" w:themeColor="text2"/>
          <w:lang w:val="en-GB"/>
        </w:rPr>
        <w:t xml:space="preserve"> be entered into at the same time, or after, the head foreign arrangement is entered AND it has to fit within one of two categories:</w:t>
      </w:r>
      <w:r w:rsidR="004720FE">
        <w:tab/>
      </w:r>
      <w:r w:rsidR="7AFDD3E1" w:rsidRPr="1BA128D6">
        <w:rPr>
          <w:color w:val="495965" w:themeColor="text2"/>
          <w:lang w:val="en-GB"/>
        </w:rPr>
        <w:t xml:space="preserve"> </w:t>
      </w:r>
    </w:p>
    <w:p w14:paraId="21D4F0F0" w14:textId="1097A69D" w:rsidR="004720FE" w:rsidRPr="004720FE" w:rsidRDefault="00E10ECA" w:rsidP="1BA128D6">
      <w:pPr>
        <w:pStyle w:val="ListParagraph"/>
        <w:numPr>
          <w:ilvl w:val="1"/>
          <w:numId w:val="20"/>
        </w:numPr>
        <w:spacing w:after="160" w:line="254" w:lineRule="auto"/>
        <w:rPr>
          <w:color w:val="495965" w:themeColor="text2"/>
          <w:lang w:val="en-GB"/>
        </w:rPr>
      </w:pPr>
      <w:r>
        <w:rPr>
          <w:color w:val="495965" w:themeColor="text2"/>
          <w:lang w:val="en-GB"/>
        </w:rPr>
        <w:t xml:space="preserve">the subsidiary arrangement </w:t>
      </w:r>
      <w:proofErr w:type="gramStart"/>
      <w:r>
        <w:rPr>
          <w:color w:val="495965" w:themeColor="text2"/>
          <w:lang w:val="en-GB"/>
        </w:rPr>
        <w:t>has to</w:t>
      </w:r>
      <w:proofErr w:type="gramEnd"/>
      <w:r>
        <w:rPr>
          <w:color w:val="495965" w:themeColor="text2"/>
          <w:lang w:val="en-GB"/>
        </w:rPr>
        <w:t xml:space="preserve"> be </w:t>
      </w:r>
      <w:r w:rsidR="7AFDD3E1" w:rsidRPr="1BA128D6">
        <w:rPr>
          <w:color w:val="495965" w:themeColor="text2"/>
          <w:lang w:val="en-GB"/>
        </w:rPr>
        <w:t xml:space="preserve">entered into for the purposes of implementing the head foreign arrangement (whether or not it refers to the head foreign arrangement or is contemplated by the head foreign arrangement), or  </w:t>
      </w:r>
    </w:p>
    <w:p w14:paraId="1CAA82AE" w14:textId="4146E896" w:rsidR="004720FE" w:rsidRPr="004720FE" w:rsidRDefault="7AFDD3E1" w:rsidP="1BA128D6">
      <w:pPr>
        <w:pStyle w:val="ListParagraph"/>
        <w:numPr>
          <w:ilvl w:val="1"/>
          <w:numId w:val="20"/>
        </w:numPr>
        <w:spacing w:after="160" w:line="254" w:lineRule="auto"/>
        <w:rPr>
          <w:color w:val="495965" w:themeColor="text2"/>
          <w:lang w:val="en-GB"/>
        </w:rPr>
      </w:pPr>
      <w:r w:rsidRPr="1BA128D6">
        <w:rPr>
          <w:color w:val="495965" w:themeColor="text2"/>
          <w:lang w:val="en-GB"/>
        </w:rPr>
        <w:t>the head foreign arrangement</w:t>
      </w:r>
      <w:r w:rsidR="00E10ECA">
        <w:rPr>
          <w:color w:val="495965" w:themeColor="text2"/>
          <w:lang w:val="en-GB"/>
        </w:rPr>
        <w:t xml:space="preserve"> must</w:t>
      </w:r>
      <w:r w:rsidRPr="1BA128D6">
        <w:rPr>
          <w:color w:val="495965" w:themeColor="text2"/>
          <w:lang w:val="en-GB"/>
        </w:rPr>
        <w:t xml:space="preserve"> contemplate (</w:t>
      </w:r>
      <w:proofErr w:type="spellStart"/>
      <w:r w:rsidRPr="1BA128D6">
        <w:rPr>
          <w:color w:val="495965" w:themeColor="text2"/>
          <w:lang w:val="en-GB"/>
        </w:rPr>
        <w:t>eg</w:t>
      </w:r>
      <w:proofErr w:type="spellEnd"/>
      <w:r w:rsidRPr="1BA128D6">
        <w:rPr>
          <w:color w:val="495965" w:themeColor="text2"/>
          <w:lang w:val="en-GB"/>
        </w:rPr>
        <w:t xml:space="preserve"> encourage, </w:t>
      </w:r>
      <w:proofErr w:type="gramStart"/>
      <w:r w:rsidRPr="1BA128D6">
        <w:rPr>
          <w:color w:val="495965" w:themeColor="text2"/>
          <w:lang w:val="en-GB"/>
        </w:rPr>
        <w:t>foster</w:t>
      </w:r>
      <w:proofErr w:type="gramEnd"/>
      <w:r w:rsidRPr="1BA128D6">
        <w:rPr>
          <w:color w:val="495965" w:themeColor="text2"/>
          <w:lang w:val="en-GB"/>
        </w:rPr>
        <w:t xml:space="preserve"> or promote) the arrangement and the arrangement </w:t>
      </w:r>
      <w:r w:rsidR="00E10ECA">
        <w:rPr>
          <w:color w:val="495965" w:themeColor="text2"/>
          <w:lang w:val="en-GB"/>
        </w:rPr>
        <w:t>must have been</w:t>
      </w:r>
      <w:r w:rsidR="00E10ECA" w:rsidRPr="1BA128D6">
        <w:rPr>
          <w:color w:val="495965" w:themeColor="text2"/>
          <w:lang w:val="en-GB"/>
        </w:rPr>
        <w:t xml:space="preserve"> </w:t>
      </w:r>
      <w:r w:rsidRPr="1BA128D6">
        <w:rPr>
          <w:color w:val="495965" w:themeColor="text2"/>
          <w:lang w:val="en-GB"/>
        </w:rPr>
        <w:t>entered into as a consequence of the head foreign arrangement.</w:t>
      </w:r>
      <w:r w:rsidRPr="1BA128D6">
        <w:rPr>
          <w:b/>
          <w:bCs/>
        </w:rPr>
        <w:t xml:space="preserve"> </w:t>
      </w:r>
    </w:p>
    <w:p w14:paraId="2C71460F" w14:textId="14CD40A4" w:rsidR="004720FE" w:rsidRPr="004720FE" w:rsidRDefault="004720FE" w:rsidP="1BA128D6">
      <w:pPr>
        <w:rPr>
          <w:i/>
          <w:iCs/>
        </w:rPr>
      </w:pPr>
      <w:r w:rsidRPr="1BA128D6">
        <w:rPr>
          <w:b/>
          <w:bCs/>
        </w:rPr>
        <w:t xml:space="preserve">How does the </w:t>
      </w:r>
      <w:r w:rsidR="00974798" w:rsidRPr="1BA128D6">
        <w:rPr>
          <w:b/>
          <w:bCs/>
        </w:rPr>
        <w:t>exclusion of</w:t>
      </w:r>
      <w:r w:rsidRPr="1BA128D6">
        <w:rPr>
          <w:b/>
          <w:bCs/>
        </w:rPr>
        <w:t xml:space="preserve"> ‘corporations that operate on a commercial </w:t>
      </w:r>
      <w:proofErr w:type="spellStart"/>
      <w:r w:rsidRPr="1BA128D6">
        <w:rPr>
          <w:b/>
          <w:bCs/>
        </w:rPr>
        <w:t>basis’</w:t>
      </w:r>
      <w:proofErr w:type="spellEnd"/>
      <w:r w:rsidRPr="1BA128D6">
        <w:rPr>
          <w:b/>
          <w:bCs/>
        </w:rPr>
        <w:t xml:space="preserve"> apply to universities and education institutions? Will a commercial and </w:t>
      </w:r>
      <w:proofErr w:type="gramStart"/>
      <w:r w:rsidRPr="1BA128D6">
        <w:rPr>
          <w:b/>
          <w:bCs/>
        </w:rPr>
        <w:t>wholly-owned</w:t>
      </w:r>
      <w:proofErr w:type="gramEnd"/>
      <w:r w:rsidRPr="1BA128D6">
        <w:rPr>
          <w:b/>
          <w:bCs/>
        </w:rPr>
        <w:t xml:space="preserve"> subsidiary of a university be </w:t>
      </w:r>
      <w:r w:rsidR="00974798" w:rsidRPr="1BA128D6">
        <w:rPr>
          <w:b/>
          <w:bCs/>
        </w:rPr>
        <w:t>excluded</w:t>
      </w:r>
      <w:r w:rsidRPr="1BA128D6">
        <w:rPr>
          <w:i/>
          <w:iCs/>
        </w:rPr>
        <w:t>?</w:t>
      </w:r>
    </w:p>
    <w:p w14:paraId="47F9D91D" w14:textId="4AD9D4AE" w:rsidR="008C7588" w:rsidRPr="005D2346" w:rsidRDefault="008C7588" w:rsidP="1BA128D6">
      <w:pPr>
        <w:rPr>
          <w:i/>
          <w:iCs/>
        </w:rPr>
      </w:pPr>
      <w:r w:rsidRPr="1BA128D6">
        <w:rPr>
          <w:i/>
          <w:iCs/>
        </w:rPr>
        <w:t xml:space="preserve">Note: Refer to ‘Guidance Note – Corporations’ </w:t>
      </w:r>
    </w:p>
    <w:p w14:paraId="41B2083A" w14:textId="15CCC76A" w:rsidR="008C7588" w:rsidRDefault="02330F7F" w:rsidP="1BA128D6">
      <w:r>
        <w:t xml:space="preserve">Australian public universities are in scope of the Scheme. </w:t>
      </w:r>
      <w:r w:rsidR="00380A80" w:rsidRPr="00127E6B">
        <w:t xml:space="preserve">The question of whether a subsidiary of a university is in scope </w:t>
      </w:r>
      <w:r w:rsidR="003D2590" w:rsidRPr="00127E6B">
        <w:t xml:space="preserve">involves a case-by-case assessment, having regard to the establishment, structure, </w:t>
      </w:r>
      <w:proofErr w:type="gramStart"/>
      <w:r w:rsidR="003D2590" w:rsidRPr="00127E6B">
        <w:t>control</w:t>
      </w:r>
      <w:proofErr w:type="gramEnd"/>
      <w:r w:rsidR="003D2590" w:rsidRPr="00127E6B">
        <w:t xml:space="preserve"> and oversight of the subsidiary, and whether the subsidiary is excluded as a commercial corporation.</w:t>
      </w:r>
      <w:r w:rsidR="003D2590">
        <w:t xml:space="preserve"> Universities may wish to seek legal advice about whether their specific controlled entities have obligations under the Act. </w:t>
      </w:r>
    </w:p>
    <w:p w14:paraId="0AA525D7" w14:textId="2881DC4A" w:rsidR="008C7588" w:rsidRDefault="35B76F5A" w:rsidP="1BA128D6">
      <w:r>
        <w:t xml:space="preserve">Corporations that operate on a commercial basis are excluded from the Scheme. </w:t>
      </w:r>
      <w:r w:rsidR="64DB3F75">
        <w:t>Determining whether a university subsidiary entity is</w:t>
      </w:r>
      <w:r w:rsidR="003D2590">
        <w:t xml:space="preserve"> </w:t>
      </w:r>
      <w:r w:rsidR="499A1D48">
        <w:t xml:space="preserve">in fact a </w:t>
      </w:r>
      <w:r w:rsidR="64DB3F75">
        <w:t>c</w:t>
      </w:r>
      <w:r w:rsidR="79C40458">
        <w:t>ommercial corporation</w:t>
      </w:r>
      <w:r w:rsidR="73E1A016">
        <w:t xml:space="preserve"> involves a case-by-case, holistic assessment </w:t>
      </w:r>
      <w:r w:rsidR="58170BCE">
        <w:t xml:space="preserve">having regard to </w:t>
      </w:r>
      <w:r w:rsidR="684D6E83">
        <w:t xml:space="preserve">relevant </w:t>
      </w:r>
      <w:r w:rsidR="2EF22EA3">
        <w:t>factors</w:t>
      </w:r>
      <w:r w:rsidR="2A9D7FB0">
        <w:t>, as</w:t>
      </w:r>
      <w:r w:rsidR="2EF22EA3">
        <w:t xml:space="preserve"> outlined in ‘</w:t>
      </w:r>
      <w:r w:rsidR="2EF22EA3" w:rsidRPr="00380A80">
        <w:rPr>
          <w:i/>
          <w:iCs/>
        </w:rPr>
        <w:t>Guidance Note – Corporations</w:t>
      </w:r>
      <w:r w:rsidR="2EF22EA3" w:rsidRPr="00380A80">
        <w:t xml:space="preserve">'. </w:t>
      </w:r>
    </w:p>
    <w:p w14:paraId="047E7662" w14:textId="7E0BB059" w:rsidR="45F0ECDF" w:rsidRDefault="45F0ECDF" w:rsidP="1BA128D6">
      <w:pPr>
        <w:rPr>
          <w:rFonts w:ascii="Calibri Light" w:eastAsia="Calibri Light" w:hAnsi="Calibri Light" w:cs="Calibri Light"/>
        </w:rPr>
      </w:pPr>
      <w:r w:rsidRPr="1BA128D6">
        <w:rPr>
          <w:rFonts w:ascii="Calibri Light" w:eastAsia="Calibri Light" w:hAnsi="Calibri Light" w:cs="Calibri Light"/>
        </w:rPr>
        <w:t>This means that commercial corporations are not included within the Scheme, except where they are party to a subsidiary arrangement entered under the auspices of a head arrangement between a State/Territory entity and a foreign entity.</w:t>
      </w:r>
      <w:r w:rsidR="6A47AAAF" w:rsidRPr="1BA128D6">
        <w:rPr>
          <w:rFonts w:ascii="Calibri Light" w:eastAsia="Calibri Light" w:hAnsi="Calibri Light" w:cs="Calibri Light"/>
        </w:rPr>
        <w:t xml:space="preserve"> An example in the university context is:</w:t>
      </w:r>
    </w:p>
    <w:p w14:paraId="59A31A37" w14:textId="2DC9E58A" w:rsidR="7EAC3D70" w:rsidRDefault="7EAC3D70" w:rsidP="1BA128D6">
      <w:pPr>
        <w:pStyle w:val="ListParagraph"/>
        <w:numPr>
          <w:ilvl w:val="0"/>
          <w:numId w:val="20"/>
        </w:numPr>
        <w:spacing w:after="160" w:line="254" w:lineRule="auto"/>
        <w:rPr>
          <w:color w:val="495965" w:themeColor="text2"/>
          <w:lang w:val="en-GB"/>
        </w:rPr>
      </w:pPr>
      <w:r w:rsidRPr="1BA128D6">
        <w:rPr>
          <w:color w:val="495965" w:themeColor="text2"/>
          <w:lang w:val="en-GB"/>
        </w:rPr>
        <w:t xml:space="preserve">An Australian public university </w:t>
      </w:r>
      <w:proofErr w:type="gramStart"/>
      <w:r w:rsidR="5C997CAE" w:rsidRPr="1BA128D6">
        <w:rPr>
          <w:color w:val="495965" w:themeColor="text2"/>
          <w:lang w:val="en-GB"/>
        </w:rPr>
        <w:t>enters into</w:t>
      </w:r>
      <w:proofErr w:type="gramEnd"/>
      <w:r w:rsidR="5C997CAE" w:rsidRPr="1BA128D6">
        <w:rPr>
          <w:color w:val="495965" w:themeColor="text2"/>
          <w:lang w:val="en-GB"/>
        </w:rPr>
        <w:t xml:space="preserve"> </w:t>
      </w:r>
      <w:r w:rsidRPr="1BA128D6">
        <w:rPr>
          <w:color w:val="495965" w:themeColor="text2"/>
          <w:lang w:val="en-GB"/>
        </w:rPr>
        <w:t xml:space="preserve">a </w:t>
      </w:r>
      <w:r w:rsidR="6CFDE04C" w:rsidRPr="1BA128D6">
        <w:rPr>
          <w:color w:val="495965" w:themeColor="text2"/>
          <w:lang w:val="en-GB"/>
        </w:rPr>
        <w:t>“M</w:t>
      </w:r>
      <w:r w:rsidRPr="1BA128D6">
        <w:rPr>
          <w:color w:val="495965" w:themeColor="text2"/>
          <w:lang w:val="en-GB"/>
        </w:rPr>
        <w:t xml:space="preserve">emorandum of understanding (MoU) on </w:t>
      </w:r>
      <w:r w:rsidR="1BD383AB" w:rsidRPr="1BA128D6">
        <w:rPr>
          <w:color w:val="495965" w:themeColor="text2"/>
          <w:lang w:val="en-GB"/>
        </w:rPr>
        <w:t>R</w:t>
      </w:r>
      <w:r w:rsidRPr="1BA128D6">
        <w:rPr>
          <w:color w:val="495965" w:themeColor="text2"/>
          <w:lang w:val="en-GB"/>
        </w:rPr>
        <w:t xml:space="preserve">esearch </w:t>
      </w:r>
      <w:r w:rsidR="7916B64C" w:rsidRPr="1BA128D6">
        <w:rPr>
          <w:color w:val="495965" w:themeColor="text2"/>
          <w:lang w:val="en-GB"/>
        </w:rPr>
        <w:t>C</w:t>
      </w:r>
      <w:r w:rsidRPr="1BA128D6">
        <w:rPr>
          <w:color w:val="495965" w:themeColor="text2"/>
          <w:lang w:val="en-GB"/>
        </w:rPr>
        <w:t>ooperation</w:t>
      </w:r>
      <w:r w:rsidR="287696D9" w:rsidRPr="1BA128D6">
        <w:rPr>
          <w:color w:val="495965" w:themeColor="text2"/>
          <w:lang w:val="en-GB"/>
        </w:rPr>
        <w:t>”</w:t>
      </w:r>
      <w:r w:rsidRPr="1BA128D6">
        <w:rPr>
          <w:color w:val="495965" w:themeColor="text2"/>
          <w:lang w:val="en-GB"/>
        </w:rPr>
        <w:t xml:space="preserve"> with Foreign </w:t>
      </w:r>
      <w:r w:rsidR="5CDB7766" w:rsidRPr="1BA128D6">
        <w:rPr>
          <w:color w:val="495965" w:themeColor="text2"/>
          <w:lang w:val="en-GB"/>
        </w:rPr>
        <w:t>U</w:t>
      </w:r>
      <w:r w:rsidRPr="1BA128D6">
        <w:rPr>
          <w:color w:val="495965" w:themeColor="text2"/>
          <w:lang w:val="en-GB"/>
        </w:rPr>
        <w:t>niversity A, which does not have institutional autonomy. This</w:t>
      </w:r>
      <w:r w:rsidR="567F6E6A" w:rsidRPr="1BA128D6">
        <w:rPr>
          <w:color w:val="495965" w:themeColor="text2"/>
          <w:lang w:val="en-GB"/>
        </w:rPr>
        <w:t xml:space="preserve"> MoU</w:t>
      </w:r>
      <w:r w:rsidRPr="1BA128D6">
        <w:rPr>
          <w:color w:val="495965" w:themeColor="text2"/>
          <w:lang w:val="en-GB"/>
        </w:rPr>
        <w:t xml:space="preserve"> is a ‘non-core foreign arrangement’ under the </w:t>
      </w:r>
      <w:r w:rsidR="5D2E9E79" w:rsidRPr="1BA128D6">
        <w:rPr>
          <w:color w:val="495965" w:themeColor="text2"/>
          <w:lang w:val="en-GB"/>
        </w:rPr>
        <w:t>Act</w:t>
      </w:r>
      <w:r w:rsidRPr="1BA128D6">
        <w:rPr>
          <w:color w:val="495965" w:themeColor="text2"/>
          <w:lang w:val="en-GB"/>
        </w:rPr>
        <w:t>.</w:t>
      </w:r>
    </w:p>
    <w:p w14:paraId="0054351C" w14:textId="1A5DB5F1" w:rsidR="7EAC3D70" w:rsidRDefault="7EAC3D70" w:rsidP="1BA128D6">
      <w:pPr>
        <w:pStyle w:val="ListParagraph"/>
        <w:numPr>
          <w:ilvl w:val="0"/>
          <w:numId w:val="20"/>
        </w:numPr>
        <w:spacing w:after="160" w:line="254" w:lineRule="auto"/>
        <w:rPr>
          <w:color w:val="495965" w:themeColor="text2"/>
          <w:lang w:val="en-GB"/>
        </w:rPr>
      </w:pPr>
      <w:r w:rsidRPr="1BA128D6">
        <w:rPr>
          <w:color w:val="495965" w:themeColor="text2"/>
          <w:lang w:val="en-GB"/>
        </w:rPr>
        <w:t>A commercial corporation then concludes a contract to deliver training on research to Foreign University A</w:t>
      </w:r>
      <w:r w:rsidR="3EF5F4D9" w:rsidRPr="1BA128D6">
        <w:rPr>
          <w:color w:val="495965" w:themeColor="text2"/>
          <w:lang w:val="en-GB"/>
        </w:rPr>
        <w:t>, which is</w:t>
      </w:r>
      <w:r w:rsidR="0C7AF410" w:rsidRPr="1BA128D6">
        <w:rPr>
          <w:color w:val="495965" w:themeColor="text2"/>
          <w:lang w:val="en-GB"/>
        </w:rPr>
        <w:t xml:space="preserve"> entered for the purpose of implementing the MoU </w:t>
      </w:r>
      <w:r w:rsidR="47A592DF" w:rsidRPr="1BA128D6">
        <w:rPr>
          <w:color w:val="495965" w:themeColor="text2"/>
          <w:lang w:val="en-GB"/>
        </w:rPr>
        <w:t>o</w:t>
      </w:r>
      <w:r w:rsidR="48054D57" w:rsidRPr="1BA128D6">
        <w:rPr>
          <w:color w:val="495965" w:themeColor="text2"/>
          <w:lang w:val="en-GB"/>
        </w:rPr>
        <w:t>n Research Cooperation</w:t>
      </w:r>
      <w:r w:rsidR="7A6EAB65" w:rsidRPr="1BA128D6">
        <w:rPr>
          <w:color w:val="495965" w:themeColor="text2"/>
          <w:lang w:val="en-GB"/>
        </w:rPr>
        <w:t>. A</w:t>
      </w:r>
      <w:r w:rsidR="25D33572" w:rsidRPr="1BA128D6">
        <w:rPr>
          <w:color w:val="495965" w:themeColor="text2"/>
          <w:lang w:val="en-GB"/>
        </w:rPr>
        <w:t xml:space="preserve">s </w:t>
      </w:r>
      <w:r w:rsidR="7A6EAB65" w:rsidRPr="1BA128D6">
        <w:rPr>
          <w:color w:val="495965" w:themeColor="text2"/>
          <w:lang w:val="en-GB"/>
        </w:rPr>
        <w:t>the commercial corporation is not a ‘State/Territory entity’ under the Act,</w:t>
      </w:r>
      <w:r w:rsidR="2BBD0A6E" w:rsidRPr="1BA128D6">
        <w:rPr>
          <w:color w:val="495965" w:themeColor="text2"/>
          <w:lang w:val="en-GB"/>
        </w:rPr>
        <w:t xml:space="preserve"> the contract is not a ‘foreign arrangement’. However,</w:t>
      </w:r>
      <w:r w:rsidR="7A6EAB65" w:rsidRPr="1BA128D6">
        <w:rPr>
          <w:color w:val="495965" w:themeColor="text2"/>
          <w:lang w:val="en-GB"/>
        </w:rPr>
        <w:t xml:space="preserve"> </w:t>
      </w:r>
      <w:r w:rsidR="312F6E7E" w:rsidRPr="1BA128D6">
        <w:rPr>
          <w:color w:val="495965" w:themeColor="text2"/>
          <w:lang w:val="en-GB"/>
        </w:rPr>
        <w:t>the contract</w:t>
      </w:r>
      <w:r w:rsidR="00510FA8" w:rsidRPr="1BA128D6">
        <w:rPr>
          <w:color w:val="495965" w:themeColor="text2"/>
          <w:lang w:val="en-GB"/>
        </w:rPr>
        <w:t xml:space="preserve"> is a</w:t>
      </w:r>
      <w:r w:rsidR="312F6E7E" w:rsidRPr="1BA128D6">
        <w:rPr>
          <w:color w:val="495965" w:themeColor="text2"/>
          <w:lang w:val="en-GB"/>
        </w:rPr>
        <w:t xml:space="preserve"> ‘subsidiary arrangement’ </w:t>
      </w:r>
      <w:r w:rsidR="1D336B35" w:rsidRPr="1BA128D6">
        <w:rPr>
          <w:color w:val="495965" w:themeColor="text2"/>
          <w:lang w:val="en-GB"/>
        </w:rPr>
        <w:t>under section 12 of the</w:t>
      </w:r>
      <w:r w:rsidR="1908F891" w:rsidRPr="1BA128D6">
        <w:rPr>
          <w:color w:val="495965" w:themeColor="text2"/>
          <w:lang w:val="en-GB"/>
        </w:rPr>
        <w:t xml:space="preserve"> Act, as it was </w:t>
      </w:r>
      <w:r w:rsidR="5ABF0F24" w:rsidRPr="1BA128D6">
        <w:rPr>
          <w:color w:val="495965" w:themeColor="text2"/>
          <w:lang w:val="en-GB"/>
        </w:rPr>
        <w:t xml:space="preserve">entered under the auspices of </w:t>
      </w:r>
      <w:r w:rsidR="4A4BF4B3" w:rsidRPr="1BA128D6">
        <w:rPr>
          <w:color w:val="495965" w:themeColor="text2"/>
          <w:lang w:val="en-GB"/>
        </w:rPr>
        <w:t>a head foreign arrangement (</w:t>
      </w:r>
      <w:r w:rsidR="64F51C67" w:rsidRPr="1BA128D6">
        <w:rPr>
          <w:color w:val="495965" w:themeColor="text2"/>
          <w:lang w:val="en-GB"/>
        </w:rPr>
        <w:t>i.e. the MoU).</w:t>
      </w:r>
    </w:p>
    <w:p w14:paraId="57D281F5" w14:textId="391AF6FA" w:rsidR="004720FE" w:rsidRPr="009D55EC" w:rsidRDefault="004720FE" w:rsidP="004720FE">
      <w:pPr>
        <w:rPr>
          <w:b/>
          <w:bCs/>
        </w:rPr>
      </w:pPr>
      <w:r w:rsidRPr="009D55EC">
        <w:rPr>
          <w:b/>
          <w:bCs/>
        </w:rPr>
        <w:t>When are commercial agreements of Australian public universities in scope of the Scheme?</w:t>
      </w:r>
    </w:p>
    <w:p w14:paraId="55E9951B" w14:textId="2DE9EDF9" w:rsidR="00400BC5" w:rsidRDefault="00400BC5" w:rsidP="1BA128D6">
      <w:pPr>
        <w:rPr>
          <w:noProof/>
        </w:rPr>
      </w:pPr>
      <w:r w:rsidRPr="1BA128D6">
        <w:rPr>
          <w:noProof/>
        </w:rPr>
        <w:t xml:space="preserve">Commercial agreements between a ‘State/Territory entity’ under section 7 and a ‘foreign entity’ under section 8 of the Act are </w:t>
      </w:r>
      <w:r w:rsidR="00F814A3" w:rsidRPr="1BA128D6">
        <w:rPr>
          <w:noProof/>
        </w:rPr>
        <w:t>in scope of the Scheme</w:t>
      </w:r>
      <w:r w:rsidRPr="1BA128D6">
        <w:rPr>
          <w:noProof/>
        </w:rPr>
        <w:t>.</w:t>
      </w:r>
      <w:r w:rsidR="009D55EC" w:rsidRPr="1BA128D6">
        <w:rPr>
          <w:noProof/>
        </w:rPr>
        <w:t xml:space="preserve"> T</w:t>
      </w:r>
      <w:r w:rsidRPr="1BA128D6">
        <w:rPr>
          <w:noProof/>
        </w:rPr>
        <w:t xml:space="preserve">he definition of ‘arrangement’ includes written contracts. This is intended to cover all arrangements entered into by State and Territory governments, local governments and Australian public universities with foreign governments and certain foreign universities. </w:t>
      </w:r>
      <w:r w:rsidR="5BCCAC8E" w:rsidRPr="1BA128D6">
        <w:rPr>
          <w:noProof/>
        </w:rPr>
        <w:t>However, it is important to note that a</w:t>
      </w:r>
      <w:r w:rsidR="4A6E1DC6" w:rsidRPr="1BA128D6">
        <w:rPr>
          <w:noProof/>
        </w:rPr>
        <w:t>rrange</w:t>
      </w:r>
      <w:r w:rsidR="5BCCAC8E" w:rsidRPr="1BA128D6">
        <w:rPr>
          <w:noProof/>
        </w:rPr>
        <w:t xml:space="preserve">ments (including commercial agreements) </w:t>
      </w:r>
      <w:r w:rsidR="00800F7C">
        <w:rPr>
          <w:noProof/>
        </w:rPr>
        <w:t xml:space="preserve">with </w:t>
      </w:r>
      <w:r w:rsidR="5BCCAC8E" w:rsidRPr="1BA128D6">
        <w:rPr>
          <w:noProof/>
        </w:rPr>
        <w:t xml:space="preserve">commercial corporations are not in scope of the Scheme.  </w:t>
      </w:r>
    </w:p>
    <w:p w14:paraId="2DC0F220" w14:textId="0A654F74" w:rsidR="004720FE" w:rsidRPr="009D55EC" w:rsidRDefault="004720FE" w:rsidP="00C03677">
      <w:pPr>
        <w:keepNext/>
        <w:rPr>
          <w:b/>
          <w:bCs/>
        </w:rPr>
      </w:pPr>
      <w:r w:rsidRPr="1BA128D6">
        <w:rPr>
          <w:b/>
          <w:bCs/>
        </w:rPr>
        <w:lastRenderedPageBreak/>
        <w:t xml:space="preserve">Does the </w:t>
      </w:r>
      <w:r w:rsidR="1C8F6FFA" w:rsidRPr="1BA128D6">
        <w:rPr>
          <w:b/>
          <w:bCs/>
        </w:rPr>
        <w:t>S</w:t>
      </w:r>
      <w:r w:rsidRPr="1BA128D6">
        <w:rPr>
          <w:b/>
          <w:bCs/>
        </w:rPr>
        <w:t>cheme cover academics</w:t>
      </w:r>
      <w:r w:rsidR="000D0465" w:rsidRPr="1BA128D6">
        <w:rPr>
          <w:b/>
          <w:bCs/>
        </w:rPr>
        <w:t xml:space="preserve"> </w:t>
      </w:r>
      <w:proofErr w:type="gramStart"/>
      <w:r w:rsidR="000D0465" w:rsidRPr="1BA128D6">
        <w:rPr>
          <w:b/>
          <w:bCs/>
        </w:rPr>
        <w:t>acting</w:t>
      </w:r>
      <w:proofErr w:type="gramEnd"/>
      <w:r w:rsidR="000D0465" w:rsidRPr="1BA128D6">
        <w:rPr>
          <w:b/>
          <w:bCs/>
        </w:rPr>
        <w:t xml:space="preserve"> in an individual capacity? For example, academics</w:t>
      </w:r>
      <w:r w:rsidRPr="1BA128D6">
        <w:rPr>
          <w:b/>
          <w:bCs/>
        </w:rPr>
        <w:t xml:space="preserve"> receiving direct</w:t>
      </w:r>
      <w:r w:rsidR="00800F7C">
        <w:rPr>
          <w:b/>
          <w:bCs/>
        </w:rPr>
        <w:t xml:space="preserve"> </w:t>
      </w:r>
      <w:r w:rsidRPr="1BA128D6">
        <w:rPr>
          <w:b/>
          <w:bCs/>
        </w:rPr>
        <w:t>funding from foreign universities and foreign governments</w:t>
      </w:r>
      <w:r w:rsidR="000D0465" w:rsidRPr="1BA128D6">
        <w:rPr>
          <w:b/>
          <w:bCs/>
        </w:rPr>
        <w:t>.</w:t>
      </w:r>
    </w:p>
    <w:p w14:paraId="09B0DB41" w14:textId="1E06F07B" w:rsidR="00627CA6" w:rsidRDefault="00627CA6" w:rsidP="00C03677">
      <w:pPr>
        <w:keepNext/>
      </w:pPr>
      <w:r>
        <w:t xml:space="preserve">The </w:t>
      </w:r>
      <w:r w:rsidR="6DDBE40C">
        <w:t>S</w:t>
      </w:r>
      <w:r>
        <w:t>cheme only applies to Australian public universities when they enter arrangement</w:t>
      </w:r>
      <w:r w:rsidR="00F83734">
        <w:t>s</w:t>
      </w:r>
      <w:r>
        <w:t xml:space="preserve"> with foreign government</w:t>
      </w:r>
      <w:r w:rsidR="00F83734">
        <w:t>s</w:t>
      </w:r>
      <w:r>
        <w:t xml:space="preserve"> or </w:t>
      </w:r>
      <w:r w:rsidR="00F83734">
        <w:t xml:space="preserve">certain </w:t>
      </w:r>
      <w:r>
        <w:t>foreign universit</w:t>
      </w:r>
      <w:r w:rsidR="00F83734">
        <w:t>ies</w:t>
      </w:r>
      <w:r>
        <w:t>, not individuals</w:t>
      </w:r>
      <w:r w:rsidR="7AFDCD0E">
        <w:t xml:space="preserve"> </w:t>
      </w:r>
      <w:proofErr w:type="gramStart"/>
      <w:r w:rsidR="7AFDCD0E">
        <w:t>acting in their own right</w:t>
      </w:r>
      <w:proofErr w:type="gramEnd"/>
      <w:r w:rsidR="7AFDCD0E">
        <w:t>.</w:t>
      </w:r>
      <w:r w:rsidR="008A6485">
        <w:t xml:space="preserve"> </w:t>
      </w:r>
      <w:r w:rsidR="7AFDCD0E">
        <w:t>Whether an arr</w:t>
      </w:r>
      <w:r w:rsidR="61AF10D0">
        <w:t>an</w:t>
      </w:r>
      <w:r w:rsidR="7AFDCD0E">
        <w:t>gement is entered by the universi</w:t>
      </w:r>
      <w:r w:rsidR="3A2C245B">
        <w:t>t</w:t>
      </w:r>
      <w:r w:rsidR="7AFDCD0E">
        <w:t xml:space="preserve">y or an individual is a question of fact. </w:t>
      </w:r>
    </w:p>
    <w:p w14:paraId="65674877" w14:textId="2E027CC3" w:rsidR="00627CA6" w:rsidRDefault="52B6E949" w:rsidP="00627CA6">
      <w:r>
        <w:t>A</w:t>
      </w:r>
      <w:r w:rsidR="00627CA6">
        <w:t>rrangements that relate to funding for academics could be covered in certain circumstances. For example</w:t>
      </w:r>
      <w:r w:rsidR="00F83734">
        <w:t>,</w:t>
      </w:r>
      <w:r w:rsidR="00627CA6">
        <w:t xml:space="preserve"> </w:t>
      </w:r>
      <w:r w:rsidR="00F83734">
        <w:t xml:space="preserve">where </w:t>
      </w:r>
      <w:r w:rsidR="006D5BBB">
        <w:t xml:space="preserve">an </w:t>
      </w:r>
      <w:r w:rsidR="00F83734">
        <w:t xml:space="preserve">academic enters </w:t>
      </w:r>
      <w:r w:rsidR="006D5BBB">
        <w:t>a foreign</w:t>
      </w:r>
      <w:r w:rsidR="00F83734">
        <w:t xml:space="preserve"> arrangement </w:t>
      </w:r>
      <w:r w:rsidR="006D5BBB">
        <w:t xml:space="preserve">while acting </w:t>
      </w:r>
      <w:r w:rsidR="00F83734">
        <w:t xml:space="preserve">on behalf of their Australian public university. </w:t>
      </w:r>
      <w:r w:rsidR="4007583F">
        <w:t>W</w:t>
      </w:r>
      <w:r w:rsidR="00F83734">
        <w:t xml:space="preserve">here </w:t>
      </w:r>
      <w:r w:rsidR="006D5BBB">
        <w:t xml:space="preserve">an academic enters an arrangement in their individual capacity </w:t>
      </w:r>
      <w:r w:rsidR="00627CA6">
        <w:t>under the auspices of a head</w:t>
      </w:r>
      <w:r w:rsidR="006D5BBB">
        <w:t xml:space="preserve"> foreign</w:t>
      </w:r>
      <w:r w:rsidR="00627CA6">
        <w:t xml:space="preserve"> arrangement</w:t>
      </w:r>
      <w:r w:rsidR="639B54C4">
        <w:t>, that arrangement may also be</w:t>
      </w:r>
      <w:r w:rsidR="006D5BBB">
        <w:t xml:space="preserve"> considered a </w:t>
      </w:r>
      <w:r w:rsidR="00224671">
        <w:t>‘</w:t>
      </w:r>
      <w:r w:rsidR="006D5BBB">
        <w:t>subsidiary arrangement</w:t>
      </w:r>
      <w:r w:rsidR="00224671">
        <w:t>’</w:t>
      </w:r>
      <w:r w:rsidR="006D5BBB">
        <w:t xml:space="preserve"> under the Scheme. </w:t>
      </w:r>
      <w:r w:rsidR="00627CA6">
        <w:t xml:space="preserve"> </w:t>
      </w:r>
    </w:p>
    <w:p w14:paraId="2F70B30D" w14:textId="19F021BD" w:rsidR="00EC776B" w:rsidRDefault="00FC7D6C" w:rsidP="005D615E">
      <w:pPr>
        <w:rPr>
          <w:b/>
          <w:bCs/>
        </w:rPr>
      </w:pPr>
      <w:r w:rsidRPr="1BA128D6">
        <w:rPr>
          <w:b/>
          <w:bCs/>
        </w:rPr>
        <w:t xml:space="preserve">Does the scope of the term </w:t>
      </w:r>
      <w:r w:rsidR="00830F6C" w:rsidRPr="1BA128D6">
        <w:rPr>
          <w:b/>
          <w:bCs/>
        </w:rPr>
        <w:t xml:space="preserve">‘arrangement’ </w:t>
      </w:r>
      <w:r w:rsidRPr="1BA128D6">
        <w:rPr>
          <w:b/>
          <w:bCs/>
        </w:rPr>
        <w:t xml:space="preserve">encompass arrangements </w:t>
      </w:r>
      <w:r w:rsidR="00224671" w:rsidRPr="1BA128D6">
        <w:rPr>
          <w:b/>
          <w:bCs/>
        </w:rPr>
        <w:t xml:space="preserve">developed informally </w:t>
      </w:r>
      <w:r w:rsidRPr="1BA128D6">
        <w:rPr>
          <w:b/>
          <w:bCs/>
        </w:rPr>
        <w:t>or</w:t>
      </w:r>
      <w:r w:rsidR="00224671" w:rsidRPr="1BA128D6">
        <w:rPr>
          <w:b/>
          <w:bCs/>
        </w:rPr>
        <w:t xml:space="preserve"> via</w:t>
      </w:r>
      <w:r w:rsidRPr="1BA128D6">
        <w:rPr>
          <w:b/>
          <w:bCs/>
        </w:rPr>
        <w:t xml:space="preserve"> private tools</w:t>
      </w:r>
      <w:r w:rsidR="00551B77" w:rsidRPr="1BA128D6">
        <w:rPr>
          <w:b/>
          <w:bCs/>
        </w:rPr>
        <w:t xml:space="preserve"> (such as</w:t>
      </w:r>
      <w:r w:rsidRPr="1BA128D6">
        <w:rPr>
          <w:b/>
          <w:bCs/>
        </w:rPr>
        <w:t xml:space="preserve"> SMS, </w:t>
      </w:r>
      <w:r w:rsidR="00C03677" w:rsidRPr="1BA128D6">
        <w:rPr>
          <w:b/>
          <w:bCs/>
        </w:rPr>
        <w:t>WhatsApp,</w:t>
      </w:r>
      <w:r w:rsidRPr="1BA128D6">
        <w:rPr>
          <w:b/>
          <w:bCs/>
        </w:rPr>
        <w:t xml:space="preserve"> or personal email</w:t>
      </w:r>
      <w:r w:rsidR="00224671" w:rsidRPr="1BA128D6">
        <w:rPr>
          <w:b/>
          <w:bCs/>
        </w:rPr>
        <w:t>)</w:t>
      </w:r>
      <w:r w:rsidRPr="1BA128D6">
        <w:rPr>
          <w:b/>
          <w:bCs/>
        </w:rPr>
        <w:t>?</w:t>
      </w:r>
    </w:p>
    <w:p w14:paraId="44095D9D" w14:textId="77777777" w:rsidR="00830F6C" w:rsidRPr="00922D98" w:rsidRDefault="00830F6C" w:rsidP="00830F6C">
      <w:pPr>
        <w:rPr>
          <w:i/>
          <w:iCs/>
        </w:rPr>
      </w:pPr>
      <w:r>
        <w:rPr>
          <w:i/>
          <w:iCs/>
        </w:rPr>
        <w:t>Note: Refer to ‘Fact Sheet 5 – Exemptions’</w:t>
      </w:r>
    </w:p>
    <w:p w14:paraId="1CC385C4" w14:textId="0C8D6A47" w:rsidR="00FC7D6C" w:rsidRPr="002A0ACD" w:rsidRDefault="00FC7D6C" w:rsidP="00FC7D6C">
      <w:r>
        <w:t xml:space="preserve">The term ‘arrangement’ is defined broadly </w:t>
      </w:r>
      <w:r w:rsidR="00551B77">
        <w:t>under</w:t>
      </w:r>
      <w:r>
        <w:t xml:space="preserve"> section 9 of the Act. It encompasses anything </w:t>
      </w:r>
      <w:r w:rsidRPr="1BA128D6">
        <w:rPr>
          <w:b/>
          <w:bCs/>
        </w:rPr>
        <w:t>in writing</w:t>
      </w:r>
      <w:r>
        <w:t xml:space="preserve"> that is an </w:t>
      </w:r>
      <w:r w:rsidRPr="002A0ACD">
        <w:t xml:space="preserve">arrangement, agreement, contract, understanding or undertaking, </w:t>
      </w:r>
      <w:proofErr w:type="gramStart"/>
      <w:r w:rsidRPr="002A0ACD">
        <w:t>whether or not</w:t>
      </w:r>
      <w:proofErr w:type="gramEnd"/>
      <w:r w:rsidRPr="002A0ACD">
        <w:t xml:space="preserve"> it is legally binding, and whether or not it is made in Australia. </w:t>
      </w:r>
    </w:p>
    <w:p w14:paraId="02E552E6" w14:textId="7FD30566" w:rsidR="00FC7D6C" w:rsidRPr="002A0ACD" w:rsidRDefault="00FC7D6C" w:rsidP="00FC7D6C">
      <w:r w:rsidRPr="002A0ACD">
        <w:t xml:space="preserve">Where an arrangement is created using informal </w:t>
      </w:r>
      <w:r w:rsidR="009311D2" w:rsidRPr="002A0ACD">
        <w:t>technology but</w:t>
      </w:r>
      <w:r w:rsidRPr="002A0ACD">
        <w:t xml:space="preserve"> is in writing and otherwise falls within the scope of the Act, it would need to be notified to the Foreign Minister. However, it</w:t>
      </w:r>
      <w:r w:rsidR="0040430D" w:rsidRPr="002A0ACD">
        <w:t xml:space="preserve"> i</w:t>
      </w:r>
      <w:r w:rsidRPr="002A0ACD">
        <w:t xml:space="preserve">s important to note that these messages or informal items would need to </w:t>
      </w:r>
      <w:r w:rsidR="00195535" w:rsidRPr="002A0ACD">
        <w:t xml:space="preserve">both </w:t>
      </w:r>
      <w:r w:rsidRPr="002A0ACD">
        <w:t>meet the definition of an ‘arrangement’ and be in writing, to be within the scope of the Act. There are also exemptions</w:t>
      </w:r>
      <w:r w:rsidR="00224671" w:rsidRPr="002A0ACD">
        <w:t xml:space="preserve"> in the Rules</w:t>
      </w:r>
      <w:r w:rsidRPr="002A0ACD">
        <w:t xml:space="preserve"> that exclude minor administrative and logistical matters.  </w:t>
      </w:r>
    </w:p>
    <w:p w14:paraId="01ACE1AA" w14:textId="28D4657A" w:rsidR="556D1EE6" w:rsidRDefault="556D1EE6" w:rsidP="1BA128D6">
      <w:r>
        <w:t>State/Territory entities may wish to seek legal advice if uncertain about specific circumstances.</w:t>
      </w:r>
    </w:p>
    <w:p w14:paraId="057FC0BC" w14:textId="4FF5B1C9" w:rsidR="00770F4B" w:rsidRPr="009D55EC" w:rsidRDefault="00770F4B" w:rsidP="00770F4B">
      <w:pPr>
        <w:rPr>
          <w:b/>
          <w:bCs/>
        </w:rPr>
      </w:pPr>
      <w:r w:rsidRPr="009D55EC">
        <w:rPr>
          <w:b/>
          <w:bCs/>
        </w:rPr>
        <w:t xml:space="preserve">Will the Department of Foreign Affairs and Trade provide a more specific list of </w:t>
      </w:r>
      <w:r w:rsidR="00551B77">
        <w:rPr>
          <w:b/>
          <w:bCs/>
        </w:rPr>
        <w:t xml:space="preserve">university </w:t>
      </w:r>
      <w:r w:rsidRPr="009D55EC">
        <w:rPr>
          <w:b/>
          <w:bCs/>
        </w:rPr>
        <w:t>arrangements that are in and out of scope?</w:t>
      </w:r>
    </w:p>
    <w:p w14:paraId="6ED761D2" w14:textId="441BE2D7" w:rsidR="00770F4B" w:rsidRDefault="002B6954" w:rsidP="00400BC5">
      <w:r>
        <w:t xml:space="preserve">The </w:t>
      </w:r>
      <w:r w:rsidR="0C7746C0">
        <w:t>S</w:t>
      </w:r>
      <w:r>
        <w:t>cheme</w:t>
      </w:r>
      <w:r w:rsidR="00400BC5">
        <w:t xml:space="preserve"> </w:t>
      </w:r>
      <w:r>
        <w:t xml:space="preserve">is designed to be flexible and responsive to global shifts and changes in Australia’s foreign policy. Consequently, how the </w:t>
      </w:r>
      <w:r w:rsidR="0E48D680">
        <w:t>S</w:t>
      </w:r>
      <w:r>
        <w:t>cheme applies to a</w:t>
      </w:r>
      <w:r w:rsidR="00224671">
        <w:t xml:space="preserve">ny </w:t>
      </w:r>
      <w:proofErr w:type="gramStart"/>
      <w:r>
        <w:t>particular arrangement</w:t>
      </w:r>
      <w:proofErr w:type="gramEnd"/>
      <w:r>
        <w:t xml:space="preserve"> involves a case-by-case assessment.</w:t>
      </w:r>
      <w:r w:rsidR="00400BC5">
        <w:t xml:space="preserve"> </w:t>
      </w:r>
    </w:p>
    <w:p w14:paraId="3318BDDF" w14:textId="45AB2EDE" w:rsidR="007A747C" w:rsidRPr="0087158D" w:rsidRDefault="007A747C" w:rsidP="00163A77">
      <w:pPr>
        <w:suppressAutoHyphens w:val="0"/>
        <w:spacing w:before="0" w:after="120" w:line="440" w:lineRule="atLeast"/>
        <w:rPr>
          <w:rFonts w:ascii="Calibri" w:eastAsia="Times New Roman" w:hAnsi="Calibri" w:cs="Times New Roman"/>
          <w:bCs/>
          <w:sz w:val="30"/>
          <w:szCs w:val="26"/>
        </w:rPr>
      </w:pPr>
      <w:r w:rsidRPr="1BA128D6">
        <w:rPr>
          <w:rFonts w:ascii="Calibri" w:eastAsia="Times New Roman" w:hAnsi="Calibri" w:cs="Times New Roman"/>
          <w:sz w:val="30"/>
          <w:szCs w:val="30"/>
        </w:rPr>
        <w:t xml:space="preserve">Questions regarding institutional autonomy </w:t>
      </w:r>
    </w:p>
    <w:p w14:paraId="456309B8" w14:textId="3202E6C4" w:rsidR="00830F6C" w:rsidRPr="005D2346" w:rsidRDefault="460BD93E" w:rsidP="1BA128D6">
      <w:pPr>
        <w:rPr>
          <w:i/>
          <w:iCs/>
        </w:rPr>
      </w:pPr>
      <w:r w:rsidRPr="1BA128D6">
        <w:rPr>
          <w:i/>
          <w:iCs/>
        </w:rPr>
        <w:t>Note: Refer to ‘Guidance – Institutional autonomy’</w:t>
      </w:r>
      <w:r w:rsidRPr="1BA128D6">
        <w:rPr>
          <w:i/>
          <w:iCs/>
          <w:sz w:val="30"/>
          <w:szCs w:val="30"/>
        </w:rPr>
        <w:t xml:space="preserve"> </w:t>
      </w:r>
    </w:p>
    <w:p w14:paraId="061198B1" w14:textId="6BA5BB47" w:rsidR="00755657" w:rsidRPr="00755657" w:rsidRDefault="006D028F" w:rsidP="00B40E24">
      <w:pPr>
        <w:spacing w:before="0"/>
      </w:pPr>
      <w:r w:rsidRPr="1BA128D6">
        <w:rPr>
          <w:b/>
          <w:bCs/>
        </w:rPr>
        <w:t xml:space="preserve">How are religious </w:t>
      </w:r>
      <w:r w:rsidR="0092336C">
        <w:rPr>
          <w:b/>
          <w:bCs/>
        </w:rPr>
        <w:t xml:space="preserve">universities </w:t>
      </w:r>
      <w:r w:rsidRPr="1BA128D6">
        <w:rPr>
          <w:b/>
          <w:bCs/>
        </w:rPr>
        <w:t>or</w:t>
      </w:r>
      <w:r w:rsidR="51D9B6C9" w:rsidRPr="1BA128D6">
        <w:rPr>
          <w:b/>
          <w:bCs/>
        </w:rPr>
        <w:t xml:space="preserve"> </w:t>
      </w:r>
      <w:r w:rsidR="006D5BBB" w:rsidRPr="1BA128D6">
        <w:rPr>
          <w:b/>
          <w:bCs/>
        </w:rPr>
        <w:t xml:space="preserve">foreign </w:t>
      </w:r>
      <w:r w:rsidRPr="1BA128D6">
        <w:rPr>
          <w:b/>
          <w:bCs/>
        </w:rPr>
        <w:t>universities</w:t>
      </w:r>
      <w:r w:rsidR="00E10ECA">
        <w:rPr>
          <w:b/>
          <w:bCs/>
        </w:rPr>
        <w:t xml:space="preserve"> </w:t>
      </w:r>
      <w:r w:rsidR="0092336C">
        <w:rPr>
          <w:b/>
          <w:bCs/>
        </w:rPr>
        <w:t>owned or controlled by royal families</w:t>
      </w:r>
      <w:r w:rsidRPr="1BA128D6">
        <w:rPr>
          <w:b/>
          <w:bCs/>
        </w:rPr>
        <w:t xml:space="preserve"> considered under the </w:t>
      </w:r>
      <w:r w:rsidR="3739AC45" w:rsidRPr="1BA128D6">
        <w:rPr>
          <w:b/>
          <w:bCs/>
        </w:rPr>
        <w:t>S</w:t>
      </w:r>
      <w:r w:rsidRPr="1BA128D6">
        <w:rPr>
          <w:b/>
          <w:bCs/>
        </w:rPr>
        <w:t>cheme?</w:t>
      </w:r>
      <w:r>
        <w:br/>
      </w:r>
      <w:r w:rsidR="00755657">
        <w:t>Whether religious universities</w:t>
      </w:r>
      <w:r w:rsidR="00800F7C">
        <w:t>,</w:t>
      </w:r>
      <w:r w:rsidR="00755657">
        <w:t xml:space="preserve"> </w:t>
      </w:r>
      <w:r w:rsidR="246B510B">
        <w:t xml:space="preserve">or universities owned </w:t>
      </w:r>
      <w:r w:rsidR="0092336C">
        <w:t xml:space="preserve">or controlled </w:t>
      </w:r>
      <w:r w:rsidR="246B510B">
        <w:t>by royal families</w:t>
      </w:r>
      <w:r w:rsidR="00800F7C">
        <w:t>,</w:t>
      </w:r>
      <w:r w:rsidR="246B510B">
        <w:t xml:space="preserve"> </w:t>
      </w:r>
      <w:r w:rsidR="006D5BBB">
        <w:t>do not have institutional autonomy</w:t>
      </w:r>
      <w:r w:rsidR="00755657">
        <w:t xml:space="preserve"> depends on the circumstances of each </w:t>
      </w:r>
      <w:r w:rsidR="006D5BBB">
        <w:t xml:space="preserve">foreign </w:t>
      </w:r>
      <w:r w:rsidR="00755657">
        <w:t>university</w:t>
      </w:r>
      <w:r w:rsidR="006D5BBB">
        <w:t>. This</w:t>
      </w:r>
      <w:r w:rsidR="00755657">
        <w:t xml:space="preserve"> will need to be assessed on a case</w:t>
      </w:r>
      <w:r w:rsidR="00800F7C">
        <w:noBreakHyphen/>
      </w:r>
      <w:r w:rsidR="00755657">
        <w:t>by-case basis.</w:t>
      </w:r>
    </w:p>
    <w:p w14:paraId="7A31AEE5" w14:textId="10ECB500" w:rsidR="00755657" w:rsidRPr="00755657" w:rsidRDefault="00755657" w:rsidP="00AD657D">
      <w:r>
        <w:t xml:space="preserve">The institutional autonomy test </w:t>
      </w:r>
      <w:r w:rsidR="006D5BBB">
        <w:t xml:space="preserve">refers to </w:t>
      </w:r>
      <w:r>
        <w:t xml:space="preserve">the degree of control exercised over a </w:t>
      </w:r>
      <w:r w:rsidR="006D5BBB">
        <w:t xml:space="preserve">foreign </w:t>
      </w:r>
      <w:r>
        <w:t xml:space="preserve">university by a foreign government or the political party that forms the foreign government. It </w:t>
      </w:r>
      <w:r w:rsidR="00284DA1">
        <w:t>does not refer to th</w:t>
      </w:r>
      <w:r>
        <w:t>e degree of control by a religious leadership or body.</w:t>
      </w:r>
    </w:p>
    <w:p w14:paraId="5F0F7303" w14:textId="7BB187F6" w:rsidR="00755657" w:rsidRPr="00755657" w:rsidRDefault="00755657" w:rsidP="00AD657D">
      <w:r w:rsidRPr="00755657">
        <w:t xml:space="preserve">To meet the requirements in the Act for a foreign university </w:t>
      </w:r>
      <w:r w:rsidR="009311D2">
        <w:t xml:space="preserve">to </w:t>
      </w:r>
      <w:r w:rsidRPr="00755657">
        <w:t xml:space="preserve">not have institutional autonomy, it </w:t>
      </w:r>
      <w:r w:rsidR="009311D2">
        <w:t>is</w:t>
      </w:r>
      <w:r w:rsidRPr="00755657">
        <w:t xml:space="preserve"> necessary to demonstrate:</w:t>
      </w:r>
    </w:p>
    <w:p w14:paraId="6EBC229D" w14:textId="3BEA8953" w:rsidR="00755657" w:rsidRPr="00755657" w:rsidRDefault="00755657" w:rsidP="00755657">
      <w:pPr>
        <w:pStyle w:val="ListParagraph"/>
        <w:numPr>
          <w:ilvl w:val="0"/>
          <w:numId w:val="20"/>
        </w:numPr>
        <w:spacing w:after="160" w:line="254" w:lineRule="auto"/>
        <w:rPr>
          <w:color w:val="495965" w:themeColor="text2"/>
          <w:lang w:val="en-GB"/>
        </w:rPr>
      </w:pPr>
      <w:r w:rsidRPr="00755657">
        <w:rPr>
          <w:color w:val="495965" w:themeColor="text2"/>
          <w:lang w:val="en-GB"/>
        </w:rPr>
        <w:t>that the religious or royal leadership to which the university is answerable forms part of the foreign government</w:t>
      </w:r>
      <w:r w:rsidR="006D5BBB">
        <w:rPr>
          <w:color w:val="495965" w:themeColor="text2"/>
          <w:lang w:val="en-GB"/>
        </w:rPr>
        <w:t>, AND</w:t>
      </w:r>
    </w:p>
    <w:p w14:paraId="4288C9C9" w14:textId="3786F025" w:rsidR="00755657" w:rsidRPr="00755657" w:rsidRDefault="00755657" w:rsidP="00755657">
      <w:pPr>
        <w:pStyle w:val="ListParagraph"/>
        <w:numPr>
          <w:ilvl w:val="0"/>
          <w:numId w:val="20"/>
        </w:numPr>
        <w:spacing w:after="160" w:line="254" w:lineRule="auto"/>
        <w:rPr>
          <w:color w:val="495965" w:themeColor="text2"/>
          <w:lang w:val="en-GB"/>
        </w:rPr>
      </w:pPr>
      <w:r w:rsidRPr="1BA128D6">
        <w:rPr>
          <w:color w:val="495965" w:themeColor="text2"/>
          <w:lang w:val="en-GB"/>
        </w:rPr>
        <w:t xml:space="preserve">that the foreign government (through the religious or royal leadership) </w:t>
      </w:r>
      <w:r w:rsidR="336A814E" w:rsidRPr="1BA128D6">
        <w:rPr>
          <w:color w:val="495965" w:themeColor="text2"/>
          <w:lang w:val="en-GB"/>
        </w:rPr>
        <w:t xml:space="preserve">is in a position to </w:t>
      </w:r>
      <w:r w:rsidRPr="1BA128D6">
        <w:rPr>
          <w:color w:val="495965" w:themeColor="text2"/>
          <w:lang w:val="en-GB"/>
        </w:rPr>
        <w:t xml:space="preserve">exercise substantial control over the university’s governing body, education, research </w:t>
      </w:r>
      <w:r w:rsidR="0078747E" w:rsidRPr="1BA128D6">
        <w:rPr>
          <w:color w:val="495965" w:themeColor="text2"/>
          <w:lang w:val="en-GB"/>
        </w:rPr>
        <w:t>and/</w:t>
      </w:r>
      <w:r w:rsidRPr="1BA128D6">
        <w:rPr>
          <w:color w:val="495965" w:themeColor="text2"/>
          <w:lang w:val="en-GB"/>
        </w:rPr>
        <w:t>or academic staff, in accordance with the requirements in s</w:t>
      </w:r>
      <w:r w:rsidR="336AD765" w:rsidRPr="1BA128D6">
        <w:rPr>
          <w:color w:val="495965" w:themeColor="text2"/>
          <w:lang w:val="en-GB"/>
        </w:rPr>
        <w:t>ub</w:t>
      </w:r>
      <w:r w:rsidR="6D8950F0" w:rsidRPr="1BA128D6">
        <w:rPr>
          <w:color w:val="495965" w:themeColor="text2"/>
          <w:lang w:val="en-GB"/>
        </w:rPr>
        <w:t>s</w:t>
      </w:r>
      <w:r w:rsidRPr="1BA128D6">
        <w:rPr>
          <w:color w:val="495965" w:themeColor="text2"/>
          <w:lang w:val="en-GB"/>
        </w:rPr>
        <w:t>ection 8</w:t>
      </w:r>
      <w:r w:rsidR="44CE74EB" w:rsidRPr="1BA128D6">
        <w:rPr>
          <w:color w:val="495965" w:themeColor="text2"/>
          <w:lang w:val="en-GB"/>
        </w:rPr>
        <w:t>(3)</w:t>
      </w:r>
      <w:r w:rsidRPr="1BA128D6">
        <w:rPr>
          <w:color w:val="495965" w:themeColor="text2"/>
          <w:lang w:val="en-GB"/>
        </w:rPr>
        <w:t xml:space="preserve"> of the Act. </w:t>
      </w:r>
    </w:p>
    <w:p w14:paraId="7D3FF100" w14:textId="3D4A39FE" w:rsidR="00284DA1" w:rsidRPr="006D5BBB" w:rsidRDefault="1FB1B51F" w:rsidP="00AD657D">
      <w:r>
        <w:lastRenderedPageBreak/>
        <w:t>The indicators under p</w:t>
      </w:r>
      <w:r w:rsidR="091BF5C4">
        <w:t>aragraphs 8(3)(b) and (c)</w:t>
      </w:r>
      <w:r w:rsidR="00755657">
        <w:t xml:space="preserve"> </w:t>
      </w:r>
      <w:r w:rsidR="42991E85">
        <w:t>of the Act</w:t>
      </w:r>
      <w:r w:rsidR="7B2C8897">
        <w:t xml:space="preserve"> include a</w:t>
      </w:r>
      <w:r w:rsidR="42991E85">
        <w:t xml:space="preserve"> </w:t>
      </w:r>
      <w:r w:rsidR="00755657">
        <w:t>requirement</w:t>
      </w:r>
      <w:r w:rsidR="59FAC90E">
        <w:t xml:space="preserve"> for education, research and/or academic staff</w:t>
      </w:r>
      <w:r w:rsidR="00755657">
        <w:t xml:space="preserve"> to adhere to</w:t>
      </w:r>
      <w:r w:rsidR="00284DA1">
        <w:t>, or be in service of,</w:t>
      </w:r>
      <w:r w:rsidR="00755657">
        <w:t xml:space="preserve"> political</w:t>
      </w:r>
      <w:r w:rsidR="00284DA1">
        <w:t xml:space="preserve"> principles or political</w:t>
      </w:r>
      <w:r w:rsidR="00755657">
        <w:t xml:space="preserve"> doctrine</w:t>
      </w:r>
      <w:r w:rsidR="00284DA1">
        <w:t>s</w:t>
      </w:r>
      <w:r w:rsidR="00755657">
        <w:t xml:space="preserve"> of a foreign government</w:t>
      </w:r>
      <w:r w:rsidR="00284DA1">
        <w:t xml:space="preserve"> or political party that forms the foreign government</w:t>
      </w:r>
      <w:r w:rsidR="00207181">
        <w:t xml:space="preserve">. </w:t>
      </w:r>
      <w:r w:rsidR="2CE54EA8">
        <w:t>In the context of religious universities, a requirement to adhere to religious principles or religious doctrines is not in itself sufficient to meet these indicators.</w:t>
      </w:r>
    </w:p>
    <w:p w14:paraId="55C2F4EC" w14:textId="02ED88B9" w:rsidR="00F63CAC" w:rsidRPr="00440CDC" w:rsidRDefault="00755657" w:rsidP="00AD657D">
      <w:r>
        <w:t>The foreign government</w:t>
      </w:r>
      <w:r w:rsidR="00284DA1">
        <w:t xml:space="preserve">, or political party that forms the foreign government, </w:t>
      </w:r>
      <w:r>
        <w:t xml:space="preserve">would need to be capable of guiding or altering the religious </w:t>
      </w:r>
      <w:r w:rsidR="00284DA1">
        <w:t xml:space="preserve">principles or religious </w:t>
      </w:r>
      <w:r>
        <w:t>doctrine</w:t>
      </w:r>
      <w:r w:rsidR="00284DA1">
        <w:t>s</w:t>
      </w:r>
      <w:r>
        <w:t xml:space="preserve">, </w:t>
      </w:r>
      <w:r w:rsidR="00284DA1">
        <w:t>in order to consider them to be</w:t>
      </w:r>
      <w:r>
        <w:t xml:space="preserve"> </w:t>
      </w:r>
      <w:r w:rsidR="00284DA1">
        <w:t>‘political principles or political doctrine</w:t>
      </w:r>
      <w:r w:rsidR="0078747E">
        <w:t>s</w:t>
      </w:r>
      <w:r>
        <w:t xml:space="preserve"> </w:t>
      </w:r>
      <w:r w:rsidRPr="005D615E">
        <w:t>of</w:t>
      </w:r>
      <w:r>
        <w:t xml:space="preserve"> the foreign government</w:t>
      </w:r>
      <w:r w:rsidR="00284DA1">
        <w:t xml:space="preserve"> or political party that forms the foreign government</w:t>
      </w:r>
      <w:r>
        <w:t>’.</w:t>
      </w:r>
      <w:r w:rsidR="00284DA1">
        <w:t xml:space="preserve"> </w:t>
      </w:r>
      <w:r w:rsidR="00440CDC">
        <w:t>Consideration must be given to the full requirements in subsection 8(3) before determin</w:t>
      </w:r>
      <w:r w:rsidR="009311D2">
        <w:t>ing</w:t>
      </w:r>
      <w:r w:rsidR="00440CDC">
        <w:t xml:space="preserve"> whether a foreign university does not have institutional autonomy.</w:t>
      </w:r>
    </w:p>
    <w:p w14:paraId="77E05BB6" w14:textId="146B531F" w:rsidR="00F63CAC" w:rsidRPr="0087158D" w:rsidRDefault="00F63CAC" w:rsidP="00F63CAC">
      <w:pPr>
        <w:rPr>
          <w:rFonts w:ascii="Calibri" w:eastAsia="Times New Roman" w:hAnsi="Calibri" w:cs="Times New Roman"/>
          <w:bCs/>
          <w:sz w:val="30"/>
          <w:szCs w:val="26"/>
        </w:rPr>
      </w:pPr>
      <w:r w:rsidRPr="0087158D">
        <w:rPr>
          <w:rFonts w:ascii="Calibri" w:eastAsia="Times New Roman" w:hAnsi="Calibri" w:cs="Times New Roman"/>
          <w:bCs/>
          <w:sz w:val="30"/>
          <w:szCs w:val="26"/>
        </w:rPr>
        <w:t>Questions regarding notifying the Foreign Minister of an arrangement</w:t>
      </w:r>
    </w:p>
    <w:p w14:paraId="6386C234" w14:textId="333AF546" w:rsidR="007A747C" w:rsidRPr="005D2346" w:rsidRDefault="00F63CAC" w:rsidP="00F63CAC">
      <w:pPr>
        <w:rPr>
          <w:b/>
          <w:bCs/>
        </w:rPr>
      </w:pPr>
      <w:r w:rsidRPr="005D2346">
        <w:rPr>
          <w:b/>
          <w:bCs/>
        </w:rPr>
        <w:t>When should an Australian public university notify of a prospective arrangement and what documentation needs to be provided with the notification?</w:t>
      </w:r>
    </w:p>
    <w:p w14:paraId="7D898478" w14:textId="2814D647" w:rsidR="00440CDC" w:rsidRPr="00AD657D" w:rsidRDefault="00440CDC" w:rsidP="00AD657D">
      <w:pPr>
        <w:rPr>
          <w:i/>
          <w:iCs/>
        </w:rPr>
      </w:pPr>
      <w:r w:rsidRPr="005D2346">
        <w:rPr>
          <w:i/>
          <w:iCs/>
        </w:rPr>
        <w:t xml:space="preserve">Note: Refer to ‘Fact sheet </w:t>
      </w:r>
      <w:r w:rsidR="00122032">
        <w:rPr>
          <w:i/>
          <w:iCs/>
        </w:rPr>
        <w:t>7</w:t>
      </w:r>
      <w:r>
        <w:rPr>
          <w:i/>
          <w:iCs/>
        </w:rPr>
        <w:t xml:space="preserve"> – Grant applications’</w:t>
      </w:r>
    </w:p>
    <w:p w14:paraId="11D9AB78" w14:textId="7A11BAB8" w:rsidR="003E6C11" w:rsidRDefault="003F0F23" w:rsidP="00F63CAC">
      <w:pPr>
        <w:spacing w:after="0" w:line="240" w:lineRule="auto"/>
      </w:pPr>
      <w:r w:rsidRPr="003F0F23">
        <w:t xml:space="preserve">Under </w:t>
      </w:r>
      <w:r>
        <w:t>the</w:t>
      </w:r>
      <w:r w:rsidRPr="003F0F23">
        <w:t xml:space="preserve"> Act, </w:t>
      </w:r>
      <w:r>
        <w:t xml:space="preserve">Australian public </w:t>
      </w:r>
      <w:r w:rsidRPr="003F0F23">
        <w:t xml:space="preserve">universities must </w:t>
      </w:r>
      <w:r>
        <w:t xml:space="preserve">notify the Foreign Minister of </w:t>
      </w:r>
      <w:r w:rsidR="00122032">
        <w:t xml:space="preserve">a proposal to enter a prospective foreign </w:t>
      </w:r>
      <w:r>
        <w:t>arrangement</w:t>
      </w:r>
      <w:r w:rsidR="00122032">
        <w:t xml:space="preserve">. </w:t>
      </w:r>
      <w:r w:rsidR="00CB3B93">
        <w:t>There is no specific timeframe for this proposal, other than that notification is required prior to entry into the arrangement. However, t</w:t>
      </w:r>
      <w:r w:rsidR="00122032">
        <w:t xml:space="preserve">he notification must include a </w:t>
      </w:r>
      <w:r>
        <w:t xml:space="preserve">copy of the draft arrangement </w:t>
      </w:r>
      <w:r w:rsidR="00122032">
        <w:t>proposed to be</w:t>
      </w:r>
      <w:r>
        <w:t xml:space="preserve"> sign</w:t>
      </w:r>
      <w:r w:rsidR="00122032">
        <w:t>ed</w:t>
      </w:r>
      <w:r>
        <w:t xml:space="preserve"> with the foreign entity.</w:t>
      </w:r>
      <w:r w:rsidR="001A65F8">
        <w:t xml:space="preserve"> </w:t>
      </w:r>
    </w:p>
    <w:p w14:paraId="5A073466" w14:textId="50DA245C" w:rsidR="00122032" w:rsidRDefault="001A65F8" w:rsidP="00F63CAC">
      <w:pPr>
        <w:spacing w:after="0" w:line="240" w:lineRule="auto"/>
      </w:pPr>
      <w:r>
        <w:t xml:space="preserve">Australian public universities must also notify the Foreign Minister once they have entered into a prospective foreign </w:t>
      </w:r>
      <w:proofErr w:type="gramStart"/>
      <w:r>
        <w:t>arrangement, and</w:t>
      </w:r>
      <w:proofErr w:type="gramEnd"/>
      <w:r>
        <w:t xml:space="preserve"> include with their notification a copy of the arrangement as entered.</w:t>
      </w:r>
      <w:r w:rsidR="00CB3B93">
        <w:t xml:space="preserve"> The Act and </w:t>
      </w:r>
      <w:r w:rsidR="0078747E">
        <w:t xml:space="preserve">the </w:t>
      </w:r>
      <w:r w:rsidR="00CB3B93">
        <w:t>Rules set out detail about the information required to be provided with each notification.</w:t>
      </w:r>
      <w:r w:rsidR="7B25F643">
        <w:t xml:space="preserve"> This information is also specified in the</w:t>
      </w:r>
      <w:r w:rsidR="54AA2C9B">
        <w:t xml:space="preserve"> </w:t>
      </w:r>
      <w:r w:rsidR="47E4CCCB">
        <w:t xml:space="preserve">notification </w:t>
      </w:r>
      <w:r w:rsidR="54AA2C9B">
        <w:t xml:space="preserve">form </w:t>
      </w:r>
      <w:r w:rsidR="73ED106C">
        <w:t>i</w:t>
      </w:r>
      <w:r w:rsidR="54AA2C9B">
        <w:t>n the portal.</w:t>
      </w:r>
    </w:p>
    <w:p w14:paraId="4F987D45" w14:textId="2AB68C3B" w:rsidR="00121E2A" w:rsidRPr="00AD657D" w:rsidRDefault="00122032" w:rsidP="00F63CAC">
      <w:pPr>
        <w:spacing w:after="0" w:line="240" w:lineRule="auto"/>
      </w:pPr>
      <w:r w:rsidRPr="00AD657D">
        <w:t xml:space="preserve">There is no obligation </w:t>
      </w:r>
      <w:r>
        <w:t xml:space="preserve">on Australian public universities to notify the Foreign Minister prior to negotiating prospective foreign arrangements. </w:t>
      </w:r>
    </w:p>
    <w:p w14:paraId="3FCDE3A1" w14:textId="7945E8FF" w:rsidR="00755657" w:rsidRDefault="00755657" w:rsidP="00F63CAC">
      <w:pPr>
        <w:spacing w:after="0" w:line="240" w:lineRule="auto"/>
        <w:rPr>
          <w:b/>
          <w:bCs/>
        </w:rPr>
      </w:pPr>
      <w:r>
        <w:rPr>
          <w:b/>
          <w:bCs/>
        </w:rPr>
        <w:t>Do universities need to notify the Foreign Minister of a</w:t>
      </w:r>
      <w:r w:rsidRPr="005D2346">
        <w:rPr>
          <w:b/>
          <w:bCs/>
        </w:rPr>
        <w:t xml:space="preserve"> multi-party arrangement</w:t>
      </w:r>
      <w:r>
        <w:rPr>
          <w:b/>
          <w:bCs/>
        </w:rPr>
        <w:t>, which includes a</w:t>
      </w:r>
      <w:r w:rsidR="00CB3B93">
        <w:rPr>
          <w:b/>
          <w:bCs/>
        </w:rPr>
        <w:t>nother</w:t>
      </w:r>
      <w:r>
        <w:rPr>
          <w:b/>
          <w:bCs/>
        </w:rPr>
        <w:t xml:space="preserve"> </w:t>
      </w:r>
      <w:r w:rsidR="00830F6C" w:rsidRPr="00B40E24">
        <w:rPr>
          <w:b/>
          <w:bCs/>
        </w:rPr>
        <w:t>State/Territory entity’</w:t>
      </w:r>
      <w:r>
        <w:rPr>
          <w:b/>
          <w:bCs/>
        </w:rPr>
        <w:t>?</w:t>
      </w:r>
    </w:p>
    <w:p w14:paraId="5F77B68C" w14:textId="4471FA7D" w:rsidR="00755657" w:rsidRDefault="00755657" w:rsidP="00755657">
      <w:r>
        <w:t xml:space="preserve">A multi-party foreign arrangement must be notified if the parties include at least one ‘State/Territory entity’ </w:t>
      </w:r>
      <w:r w:rsidR="00122032">
        <w:t xml:space="preserve">under section 7 </w:t>
      </w:r>
      <w:r>
        <w:t>and one ‘foreign entity’</w:t>
      </w:r>
      <w:r w:rsidR="00122032">
        <w:t xml:space="preserve"> under section 8 of the Act</w:t>
      </w:r>
      <w:r>
        <w:t xml:space="preserve">. </w:t>
      </w:r>
    </w:p>
    <w:p w14:paraId="0EA3122C" w14:textId="6BA6927A" w:rsidR="00755657" w:rsidRDefault="00755657" w:rsidP="00755657">
      <w:r>
        <w:t xml:space="preserve">There are different obligations for Australian public universities depending on whether the arrangement is </w:t>
      </w:r>
      <w:r w:rsidR="00B40E24">
        <w:t xml:space="preserve">a </w:t>
      </w:r>
      <w:r>
        <w:t>‘core</w:t>
      </w:r>
      <w:r w:rsidR="00B40E24">
        <w:t xml:space="preserve"> foreign arrangement</w:t>
      </w:r>
      <w:r>
        <w:t>’ or ‘non-core</w:t>
      </w:r>
      <w:r w:rsidR="00B40E24">
        <w:t xml:space="preserve"> foreign arrangement</w:t>
      </w:r>
      <w:r>
        <w:t xml:space="preserve">’ under the Act. </w:t>
      </w:r>
    </w:p>
    <w:p w14:paraId="20FCD862" w14:textId="65DCF8F9" w:rsidR="00755657" w:rsidRDefault="00755657" w:rsidP="00755657">
      <w:r>
        <w:t xml:space="preserve">Where Australian public universities are </w:t>
      </w:r>
      <w:r w:rsidR="00122032">
        <w:t xml:space="preserve">parties </w:t>
      </w:r>
      <w:r>
        <w:t>to a multi-party core arrangement</w:t>
      </w:r>
      <w:r w:rsidR="00323106">
        <w:t xml:space="preserve"> (i.e. involving</w:t>
      </w:r>
      <w:r>
        <w:t xml:space="preserve"> a State or Territory government</w:t>
      </w:r>
      <w:r w:rsidR="00122032">
        <w:t xml:space="preserve"> entity</w:t>
      </w:r>
      <w:r>
        <w:t xml:space="preserve"> and a foreign national-level entity</w:t>
      </w:r>
      <w:r w:rsidR="00323106">
        <w:t xml:space="preserve">), </w:t>
      </w:r>
      <w:r>
        <w:t xml:space="preserve">there is no requirement for the </w:t>
      </w:r>
      <w:r w:rsidR="00DA35E5">
        <w:t xml:space="preserve">‘non-core’ </w:t>
      </w:r>
      <w:r>
        <w:t xml:space="preserve">Australian public university to notify the Minister of the arrangement. This obligation rests with the </w:t>
      </w:r>
      <w:r w:rsidR="00DA35E5">
        <w:t>‘</w:t>
      </w:r>
      <w:r>
        <w:t>core</w:t>
      </w:r>
      <w:r w:rsidR="00122032">
        <w:t xml:space="preserve"> entity</w:t>
      </w:r>
      <w:r w:rsidR="00DA35E5">
        <w:t>’</w:t>
      </w:r>
      <w:r w:rsidR="00122032">
        <w:t>, namely</w:t>
      </w:r>
      <w:r>
        <w:t xml:space="preserve"> the State or Territory government</w:t>
      </w:r>
      <w:r w:rsidR="00122032">
        <w:t xml:space="preserve"> entity</w:t>
      </w:r>
      <w:r>
        <w:t>.</w:t>
      </w:r>
    </w:p>
    <w:p w14:paraId="1847359D" w14:textId="2E47A04C" w:rsidR="002163A2" w:rsidRDefault="001A65F8" w:rsidP="001A65F8">
      <w:r>
        <w:t>In contrast</w:t>
      </w:r>
      <w:r w:rsidR="00DA35E5">
        <w:t>, where</w:t>
      </w:r>
      <w:r w:rsidR="00755657">
        <w:t xml:space="preserve"> Australian public universities are part</w:t>
      </w:r>
      <w:r w:rsidR="00122032">
        <w:t>ies</w:t>
      </w:r>
      <w:r w:rsidR="00755657">
        <w:t xml:space="preserve"> to a multi-party </w:t>
      </w:r>
      <w:r w:rsidR="00DA35E5">
        <w:t>‘</w:t>
      </w:r>
      <w:r w:rsidR="00755657">
        <w:t>non-core</w:t>
      </w:r>
      <w:r w:rsidR="00DA35E5">
        <w:t>’</w:t>
      </w:r>
      <w:r w:rsidR="00755657">
        <w:t xml:space="preserve"> arrangement, there is a requirement for all State/Territory entities</w:t>
      </w:r>
      <w:r w:rsidR="00DA35E5">
        <w:t xml:space="preserve">, </w:t>
      </w:r>
      <w:r w:rsidR="00755657">
        <w:t>including Australian public universit</w:t>
      </w:r>
      <w:r>
        <w:t>ies</w:t>
      </w:r>
      <w:r w:rsidR="00DA35E5">
        <w:t>,</w:t>
      </w:r>
      <w:r w:rsidR="00755657">
        <w:t xml:space="preserve"> to notify the Foreign Minister.  </w:t>
      </w:r>
    </w:p>
    <w:p w14:paraId="5CF531A9" w14:textId="4E0E0BC9" w:rsidR="00921112" w:rsidRPr="00921112" w:rsidRDefault="26C9DC3E" w:rsidP="00921112">
      <w:r>
        <w:t>F</w:t>
      </w:r>
      <w:r w:rsidR="0078747E">
        <w:t>or</w:t>
      </w:r>
      <w:r w:rsidR="001A65F8">
        <w:t xml:space="preserve"> multi</w:t>
      </w:r>
      <w:r w:rsidR="002163A2">
        <w:t>-</w:t>
      </w:r>
      <w:r w:rsidR="001A65F8">
        <w:t xml:space="preserve">party arrangements, </w:t>
      </w:r>
      <w:r w:rsidR="430A2CC1">
        <w:t xml:space="preserve">the Taskforce will accept </w:t>
      </w:r>
      <w:r w:rsidR="001A65F8">
        <w:t xml:space="preserve">a notification from one party as a notification from the </w:t>
      </w:r>
      <w:r w:rsidR="00CB3B93">
        <w:t>parties</w:t>
      </w:r>
      <w:r w:rsidR="536F8428">
        <w:t>, but</w:t>
      </w:r>
      <w:r w:rsidR="0078747E">
        <w:t xml:space="preserve"> </w:t>
      </w:r>
      <w:r w:rsidR="00921112">
        <w:t xml:space="preserve">State/Territory </w:t>
      </w:r>
      <w:r w:rsidR="08050F77">
        <w:t>should</w:t>
      </w:r>
      <w:r w:rsidR="00921112">
        <w:t xml:space="preserve"> coordinate to ensure at least one party makes a notification. DFAT will direct subsequent engagement on that specific arrangement through the notifying party.  </w:t>
      </w:r>
    </w:p>
    <w:p w14:paraId="68B373DB" w14:textId="52872F9B" w:rsidR="51B166C7" w:rsidRDefault="51B166C7" w:rsidP="1BA128D6">
      <w:r w:rsidRPr="1BA128D6">
        <w:t xml:space="preserve">There is no prohibition on all parties notifying the arrangement. </w:t>
      </w:r>
    </w:p>
    <w:p w14:paraId="75457484" w14:textId="77777777" w:rsidR="009311D2" w:rsidRDefault="009311D2">
      <w:pPr>
        <w:suppressAutoHyphens w:val="0"/>
        <w:spacing w:before="0" w:after="120" w:line="440" w:lineRule="atLeast"/>
      </w:pPr>
      <w:r>
        <w:br w:type="page"/>
      </w:r>
    </w:p>
    <w:p w14:paraId="0216062B" w14:textId="535B6BDA" w:rsidR="00921112" w:rsidRPr="00921112" w:rsidRDefault="00921112" w:rsidP="009311D2">
      <w:pPr>
        <w:keepNext/>
      </w:pPr>
      <w:r w:rsidRPr="00921112">
        <w:lastRenderedPageBreak/>
        <w:t xml:space="preserve">It is important to consider the circumstances in which it may not be sufficient for only one party to notify an arrangement. </w:t>
      </w:r>
    </w:p>
    <w:p w14:paraId="21F755B9" w14:textId="54A5DDF0" w:rsidR="00921112" w:rsidRPr="00921112" w:rsidRDefault="00921112" w:rsidP="009311D2">
      <w:pPr>
        <w:pStyle w:val="ListParagraph"/>
        <w:keepNext/>
        <w:numPr>
          <w:ilvl w:val="0"/>
          <w:numId w:val="20"/>
        </w:numPr>
        <w:spacing w:after="160" w:line="254" w:lineRule="auto"/>
        <w:rPr>
          <w:color w:val="495965" w:themeColor="text2"/>
          <w:lang w:val="en-GB"/>
        </w:rPr>
      </w:pPr>
      <w:r w:rsidRPr="00921112">
        <w:rPr>
          <w:color w:val="495965" w:themeColor="text2"/>
          <w:lang w:val="en-GB"/>
        </w:rPr>
        <w:t>For example, where one party has information about a multi-party arrangement that they wish or need to provide separately, they should make a separate notification.  This may include information relevant to any decision the Minister may make</w:t>
      </w:r>
      <w:r w:rsidR="008A6485">
        <w:rPr>
          <w:color w:val="495965" w:themeColor="text2"/>
          <w:lang w:val="en-GB"/>
        </w:rPr>
        <w:t>;</w:t>
      </w:r>
      <w:r w:rsidRPr="00921112">
        <w:rPr>
          <w:color w:val="495965" w:themeColor="text2"/>
          <w:lang w:val="en-GB"/>
        </w:rPr>
        <w:t xml:space="preserve"> for example, specific information to address the factors listed under subsection 51(2).  </w:t>
      </w:r>
    </w:p>
    <w:p w14:paraId="0E205148" w14:textId="6D910E4D" w:rsidR="00921112" w:rsidRPr="00DB75AA" w:rsidRDefault="00921112" w:rsidP="009311D2">
      <w:pPr>
        <w:pStyle w:val="ListParagraph"/>
        <w:keepNext/>
        <w:numPr>
          <w:ilvl w:val="0"/>
          <w:numId w:val="20"/>
        </w:numPr>
        <w:spacing w:after="160" w:line="254" w:lineRule="auto"/>
        <w:rPr>
          <w:b/>
          <w:bCs/>
        </w:rPr>
      </w:pPr>
      <w:r w:rsidRPr="00921112">
        <w:rPr>
          <w:color w:val="495965" w:themeColor="text2"/>
          <w:lang w:val="en-GB"/>
        </w:rPr>
        <w:t>If one party has subsidiary arrangements which would not be notified by other parties, that party would need to make a separate notification to notify those subsidiary arrangements.</w:t>
      </w:r>
    </w:p>
    <w:p w14:paraId="23B8DF1B" w14:textId="339249A7" w:rsidR="00F63CAC" w:rsidRPr="005D2346" w:rsidRDefault="00F63CAC" w:rsidP="009311D2">
      <w:pPr>
        <w:keepNext/>
        <w:spacing w:after="0" w:line="240" w:lineRule="auto"/>
        <w:rPr>
          <w:b/>
          <w:bCs/>
        </w:rPr>
      </w:pPr>
      <w:r w:rsidRPr="005D2346">
        <w:rPr>
          <w:b/>
          <w:bCs/>
        </w:rPr>
        <w:t>Does the Foreign Minister need to be notified of a multi-par</w:t>
      </w:r>
      <w:r w:rsidR="00323106">
        <w:rPr>
          <w:b/>
          <w:bCs/>
        </w:rPr>
        <w:t>t</w:t>
      </w:r>
      <w:r w:rsidRPr="005D2346">
        <w:rPr>
          <w:b/>
          <w:bCs/>
        </w:rPr>
        <w:t>y arrangement</w:t>
      </w:r>
      <w:r w:rsidR="00755657">
        <w:rPr>
          <w:b/>
          <w:bCs/>
        </w:rPr>
        <w:t xml:space="preserve"> </w:t>
      </w:r>
      <w:r w:rsidR="00323106">
        <w:rPr>
          <w:b/>
          <w:bCs/>
        </w:rPr>
        <w:t>involving some foreign</w:t>
      </w:r>
      <w:r w:rsidRPr="005D2346">
        <w:rPr>
          <w:b/>
          <w:bCs/>
        </w:rPr>
        <w:t xml:space="preserve"> universities </w:t>
      </w:r>
      <w:r w:rsidR="00323106">
        <w:rPr>
          <w:b/>
          <w:bCs/>
        </w:rPr>
        <w:t xml:space="preserve">that </w:t>
      </w:r>
      <w:r w:rsidR="00755657">
        <w:rPr>
          <w:b/>
          <w:bCs/>
        </w:rPr>
        <w:t>do not have</w:t>
      </w:r>
      <w:r w:rsidRPr="005D2346">
        <w:rPr>
          <w:b/>
          <w:bCs/>
        </w:rPr>
        <w:t xml:space="preserve"> institutional autonomy</w:t>
      </w:r>
      <w:r w:rsidR="00323106">
        <w:rPr>
          <w:b/>
          <w:bCs/>
        </w:rPr>
        <w:t xml:space="preserve"> and some that have institutional autonomy</w:t>
      </w:r>
      <w:r w:rsidRPr="005D2346">
        <w:rPr>
          <w:b/>
          <w:bCs/>
        </w:rPr>
        <w:t>?</w:t>
      </w:r>
    </w:p>
    <w:p w14:paraId="2E0C8595" w14:textId="3A055DF6" w:rsidR="00755657" w:rsidRDefault="00755657" w:rsidP="009311D2">
      <w:pPr>
        <w:keepNext/>
      </w:pPr>
      <w:r>
        <w:t xml:space="preserve">Yes. </w:t>
      </w:r>
      <w:r w:rsidR="00DA35E5">
        <w:t xml:space="preserve">For example, an arrangement involving two Australian public universities, a foreign university that is not in scope of the Scheme and a foreign university that does not have institutional autonomy, must be notified by the two Australian public universities. </w:t>
      </w:r>
    </w:p>
    <w:p w14:paraId="2DDD5F23" w14:textId="053BF84A" w:rsidR="007A747C" w:rsidRDefault="007A747C">
      <w:pPr>
        <w:suppressAutoHyphens w:val="0"/>
        <w:spacing w:before="0" w:after="120" w:line="440" w:lineRule="atLeast"/>
        <w:rPr>
          <w:rFonts w:ascii="Calibri" w:eastAsia="Times New Roman" w:hAnsi="Calibri" w:cs="Times New Roman"/>
          <w:bCs/>
          <w:sz w:val="30"/>
          <w:szCs w:val="26"/>
        </w:rPr>
      </w:pPr>
      <w:r>
        <w:rPr>
          <w:rFonts w:ascii="Calibri" w:eastAsia="Times New Roman" w:hAnsi="Calibri" w:cs="Times New Roman"/>
          <w:bCs/>
          <w:sz w:val="30"/>
          <w:szCs w:val="26"/>
        </w:rPr>
        <w:t xml:space="preserve">Questions regarding the </w:t>
      </w:r>
      <w:r w:rsidR="00440CDC">
        <w:rPr>
          <w:rFonts w:ascii="Calibri" w:eastAsia="Times New Roman" w:hAnsi="Calibri" w:cs="Times New Roman"/>
          <w:bCs/>
          <w:sz w:val="30"/>
          <w:szCs w:val="26"/>
        </w:rPr>
        <w:t>P</w:t>
      </w:r>
      <w:r>
        <w:rPr>
          <w:rFonts w:ascii="Calibri" w:eastAsia="Times New Roman" w:hAnsi="Calibri" w:cs="Times New Roman"/>
          <w:bCs/>
          <w:sz w:val="30"/>
          <w:szCs w:val="26"/>
        </w:rPr>
        <w:t xml:space="preserve">ublic </w:t>
      </w:r>
      <w:r w:rsidR="00440CDC">
        <w:rPr>
          <w:rFonts w:ascii="Calibri" w:eastAsia="Times New Roman" w:hAnsi="Calibri" w:cs="Times New Roman"/>
          <w:bCs/>
          <w:sz w:val="30"/>
          <w:szCs w:val="26"/>
        </w:rPr>
        <w:t>R</w:t>
      </w:r>
      <w:r>
        <w:rPr>
          <w:rFonts w:ascii="Calibri" w:eastAsia="Times New Roman" w:hAnsi="Calibri" w:cs="Times New Roman"/>
          <w:bCs/>
          <w:sz w:val="30"/>
          <w:szCs w:val="26"/>
        </w:rPr>
        <w:t>egister</w:t>
      </w:r>
    </w:p>
    <w:p w14:paraId="342CF639" w14:textId="37DC20B5" w:rsidR="0087158D" w:rsidRPr="005D2346" w:rsidRDefault="005D2346" w:rsidP="0087158D">
      <w:pPr>
        <w:suppressAutoHyphens w:val="0"/>
        <w:spacing w:before="0" w:after="120"/>
        <w:rPr>
          <w:b/>
          <w:bCs/>
        </w:rPr>
      </w:pPr>
      <w:r>
        <w:rPr>
          <w:b/>
          <w:bCs/>
        </w:rPr>
        <w:t>An</w:t>
      </w:r>
      <w:r w:rsidR="0087158D" w:rsidRPr="005D2346">
        <w:rPr>
          <w:b/>
          <w:bCs/>
        </w:rPr>
        <w:t xml:space="preserve"> </w:t>
      </w:r>
      <w:r w:rsidR="00440CDC">
        <w:rPr>
          <w:b/>
          <w:bCs/>
        </w:rPr>
        <w:t xml:space="preserve">Australian public university notified the Foreign Minister of an </w:t>
      </w:r>
      <w:r w:rsidR="0087158D" w:rsidRPr="005D2346">
        <w:rPr>
          <w:b/>
          <w:bCs/>
        </w:rPr>
        <w:t xml:space="preserve">arrangement with a foreign university, but </w:t>
      </w:r>
      <w:r w:rsidR="00440CDC">
        <w:rPr>
          <w:b/>
          <w:bCs/>
        </w:rPr>
        <w:t xml:space="preserve">it </w:t>
      </w:r>
      <w:r w:rsidR="0087158D" w:rsidRPr="005D2346">
        <w:rPr>
          <w:b/>
          <w:bCs/>
        </w:rPr>
        <w:t xml:space="preserve">is not on the </w:t>
      </w:r>
      <w:r w:rsidR="00440CDC">
        <w:rPr>
          <w:b/>
          <w:bCs/>
        </w:rPr>
        <w:t>P</w:t>
      </w:r>
      <w:r w:rsidR="0087158D" w:rsidRPr="005D2346">
        <w:rPr>
          <w:b/>
          <w:bCs/>
        </w:rPr>
        <w:t xml:space="preserve">ublic </w:t>
      </w:r>
      <w:r w:rsidR="00440CDC">
        <w:rPr>
          <w:b/>
          <w:bCs/>
        </w:rPr>
        <w:t>R</w:t>
      </w:r>
      <w:r w:rsidR="0087158D" w:rsidRPr="005D2346">
        <w:rPr>
          <w:b/>
          <w:bCs/>
        </w:rPr>
        <w:t>egister. Does that mean the foreign university is not in scope of the Scheme?</w:t>
      </w:r>
    </w:p>
    <w:p w14:paraId="321C3C8F" w14:textId="77777777" w:rsidR="0078747E" w:rsidRDefault="00DA35E5" w:rsidP="008317E1">
      <w:pPr>
        <w:suppressAutoHyphens w:val="0"/>
        <w:spacing w:before="0" w:after="120"/>
      </w:pPr>
      <w:r w:rsidRPr="00DA35E5">
        <w:t xml:space="preserve">There is no set legislative timeframe for publication of notified arrangements to the Public Register. </w:t>
      </w:r>
    </w:p>
    <w:p w14:paraId="1ECD3B91" w14:textId="1A55AAFD" w:rsidR="00121E2A" w:rsidRPr="00000963" w:rsidRDefault="0087158D" w:rsidP="00551510">
      <w:pPr>
        <w:suppressAutoHyphens w:val="0"/>
        <w:spacing w:before="0" w:after="120"/>
      </w:pPr>
      <w:r>
        <w:t xml:space="preserve">If </w:t>
      </w:r>
      <w:r w:rsidR="00440CDC">
        <w:t>a</w:t>
      </w:r>
      <w:r w:rsidR="00551510">
        <w:t>n Australian public</w:t>
      </w:r>
      <w:r w:rsidR="00440CDC">
        <w:t xml:space="preserve"> </w:t>
      </w:r>
      <w:r w:rsidR="00DA35E5">
        <w:t>university</w:t>
      </w:r>
      <w:r>
        <w:t xml:space="preserve"> notifies the Foreign Minister of an arrangement that is deemed not to be in scope, DFAT will advise the </w:t>
      </w:r>
      <w:r w:rsidR="00DA35E5">
        <w:t>university</w:t>
      </w:r>
      <w:r>
        <w:t xml:space="preserve"> accordingly.</w:t>
      </w:r>
    </w:p>
    <w:p w14:paraId="54659CA7" w14:textId="2E18B398" w:rsidR="1BA128D6" w:rsidRDefault="1BA128D6" w:rsidP="1BA128D6">
      <w:pPr>
        <w:spacing w:before="0" w:after="120"/>
      </w:pPr>
    </w:p>
    <w:sectPr w:rsidR="1BA128D6" w:rsidSect="00DB75AA">
      <w:headerReference w:type="default" r:id="rId8"/>
      <w:footerReference w:type="default" r:id="rId9"/>
      <w:headerReference w:type="first" r:id="rId10"/>
      <w:pgSz w:w="11906" w:h="16838" w:code="9"/>
      <w:pgMar w:top="1559" w:right="1134" w:bottom="1191" w:left="1134" w:header="425" w:footer="567"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C49A87" w14:textId="77777777" w:rsidR="00F50889" w:rsidRDefault="00F50889" w:rsidP="00D37B04">
      <w:r>
        <w:separator/>
      </w:r>
    </w:p>
  </w:endnote>
  <w:endnote w:type="continuationSeparator" w:id="0">
    <w:p w14:paraId="5883EC5F" w14:textId="77777777" w:rsidR="00F50889" w:rsidRDefault="00F50889" w:rsidP="00D37B04">
      <w:r>
        <w:continuationSeparator/>
      </w:r>
    </w:p>
  </w:endnote>
  <w:endnote w:id="1">
    <w:p w14:paraId="1A12C732" w14:textId="7A4032F9" w:rsidR="00B81F47" w:rsidRPr="00DB75AA" w:rsidRDefault="00B81F47" w:rsidP="00B81F47">
      <w:pPr>
        <w:pStyle w:val="Bullet1"/>
        <w:rPr>
          <w:sz w:val="18"/>
          <w:szCs w:val="18"/>
        </w:rPr>
      </w:pPr>
      <w:r w:rsidRPr="00DB75AA">
        <w:rPr>
          <w:rStyle w:val="EndnoteReference"/>
          <w:sz w:val="18"/>
          <w:szCs w:val="18"/>
        </w:rPr>
        <w:endnoteRef/>
      </w:r>
      <w:r w:rsidRPr="00DB75AA">
        <w:rPr>
          <w:rFonts w:ascii="Times New Roman" w:hAnsi="Times New Roman" w:cs="Times New Roman"/>
          <w:color w:val="auto"/>
          <w:sz w:val="18"/>
          <w:szCs w:val="18"/>
          <w:lang w:val="en-AU" w:eastAsia="en-AU"/>
        </w:rPr>
        <w:t xml:space="preserve"> </w:t>
      </w:r>
      <w:r w:rsidRPr="00DB75AA">
        <w:rPr>
          <w:sz w:val="18"/>
          <w:szCs w:val="18"/>
        </w:rPr>
        <w:t xml:space="preserve">These frequently asked questions set out information about compliance with the </w:t>
      </w:r>
      <w:r w:rsidRPr="00DB75AA">
        <w:rPr>
          <w:i/>
          <w:iCs/>
          <w:sz w:val="18"/>
          <w:szCs w:val="18"/>
        </w:rPr>
        <w:t>Australia’s Foreign Relations (State and Territory Arrangements) Act 2020</w:t>
      </w:r>
      <w:r w:rsidRPr="00DB75AA">
        <w:rPr>
          <w:sz w:val="18"/>
          <w:szCs w:val="18"/>
        </w:rPr>
        <w:t>. They are not intended to be comprehensive and should not be relied on as a definitive interpretation of the Act. They are also not intended as legal advice. Readers should rely on the substantive provisions of the Act as enacted by Parliament, and any applicable rules, in assessing their obligations and seek independent legal advice.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Sans-500">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9957812"/>
      <w:docPartObj>
        <w:docPartGallery w:val="Page Numbers (Bottom of Page)"/>
        <w:docPartUnique/>
      </w:docPartObj>
    </w:sdtPr>
    <w:sdtEndPr>
      <w:rPr>
        <w:noProof/>
      </w:rPr>
    </w:sdtEndPr>
    <w:sdtContent>
      <w:p w14:paraId="39DD219A" w14:textId="357B55A9" w:rsidR="00C5712E" w:rsidRDefault="00C5712E">
        <w:pPr>
          <w:pStyle w:val="Footer"/>
        </w:pPr>
        <w:r>
          <w:fldChar w:fldCharType="begin"/>
        </w:r>
        <w:r>
          <w:instrText xml:space="preserve"> PAGE   \* MERGEFORMAT </w:instrText>
        </w:r>
        <w:r>
          <w:fldChar w:fldCharType="separate"/>
        </w:r>
        <w:r w:rsidR="00E10ECA">
          <w:rPr>
            <w:noProof/>
          </w:rPr>
          <w:t>2</w:t>
        </w:r>
        <w:r>
          <w:rPr>
            <w:noProof/>
          </w:rPr>
          <w:fldChar w:fldCharType="end"/>
        </w:r>
      </w:p>
    </w:sdtContent>
  </w:sdt>
  <w:p w14:paraId="53A65F20" w14:textId="77777777" w:rsidR="00C5712E" w:rsidRDefault="00C571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97C3FE" w14:textId="77777777" w:rsidR="00F50889" w:rsidRPr="008C5A0E" w:rsidRDefault="00F50889" w:rsidP="00D37B04">
      <w:pPr>
        <w:pStyle w:val="Footer"/>
      </w:pPr>
    </w:p>
  </w:footnote>
  <w:footnote w:type="continuationSeparator" w:id="0">
    <w:p w14:paraId="13D624F4" w14:textId="77777777" w:rsidR="00F50889" w:rsidRDefault="00F50889" w:rsidP="00D37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0643C" w14:textId="77777777" w:rsidR="002D5B25" w:rsidRPr="000854FD" w:rsidRDefault="002D5B25" w:rsidP="002D5B25">
    <w:pPr>
      <w:pStyle w:val="Header"/>
    </w:pPr>
    <w:r w:rsidRPr="00943730">
      <w:rPr>
        <w:noProof/>
        <w:lang w:val="en-AU" w:eastAsia="en-AU"/>
      </w:rPr>
      <w:drawing>
        <wp:anchor distT="0" distB="0" distL="114300" distR="114300" simplePos="0" relativeHeight="251662336" behindDoc="1" locked="1" layoutInCell="1" allowOverlap="1" wp14:anchorId="5BBA2DAC" wp14:editId="246CBC31">
          <wp:simplePos x="0" y="0"/>
          <wp:positionH relativeFrom="page">
            <wp:posOffset>12700</wp:posOffset>
          </wp:positionH>
          <wp:positionV relativeFrom="page">
            <wp:posOffset>0</wp:posOffset>
          </wp:positionV>
          <wp:extent cx="7559675" cy="10692765"/>
          <wp:effectExtent l="0" t="0" r="3175" b="0"/>
          <wp:wrapNone/>
          <wp:docPr id="239" name="Picture 2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675"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3A9D0" w14:textId="77777777" w:rsidR="002D5B25" w:rsidRDefault="002D5B25" w:rsidP="002D5B25">
    <w:pPr>
      <w:pStyle w:val="Header"/>
    </w:pPr>
  </w:p>
  <w:p w14:paraId="62F6DB26" w14:textId="5823B94B" w:rsidR="00384DAE" w:rsidRDefault="002D5B25" w:rsidP="00943730">
    <w:pPr>
      <w:pStyle w:val="Header"/>
    </w:pPr>
    <w:r w:rsidRPr="00943730">
      <w:fldChar w:fldCharType="begin"/>
    </w:r>
    <w:r w:rsidRPr="00943730">
      <w:instrText xml:space="preserve"> DATE  \@ "MMMM yyyy"  \* MERGEFORMAT </w:instrText>
    </w:r>
    <w:r w:rsidRPr="00943730">
      <w:fldChar w:fldCharType="separate"/>
    </w:r>
    <w:r w:rsidR="001E02AA">
      <w:rPr>
        <w:noProof/>
      </w:rPr>
      <w:t>June 2021</w:t>
    </w:r>
    <w:r w:rsidRPr="00943730">
      <w:fldChar w:fldCharType="end"/>
    </w:r>
  </w:p>
  <w:p w14:paraId="0B948BA4" w14:textId="77777777" w:rsidR="00384DAE" w:rsidRDefault="00384DAE" w:rsidP="00943730">
    <w:pPr>
      <w:pStyle w:val="Header"/>
    </w:pPr>
  </w:p>
  <w:p w14:paraId="6646872C" w14:textId="3342250F" w:rsidR="00D37B04" w:rsidRPr="00943730" w:rsidRDefault="002D5B25" w:rsidP="00943730">
    <w:pPr>
      <w:pStyle w:val="Header"/>
    </w:pPr>
    <w:r w:rsidRPr="00943730">
      <w:rPr>
        <w:noProof/>
        <w:lang w:val="en-AU" w:eastAsia="en-AU"/>
      </w:rPr>
      <w:drawing>
        <wp:inline distT="0" distB="0" distL="0" distR="0" wp14:anchorId="66D0503B" wp14:editId="4A7962B2">
          <wp:extent cx="3166745" cy="554355"/>
          <wp:effectExtent l="0" t="0" r="0" b="0"/>
          <wp:docPr id="240" name="Picture 240" descr="Department of Foreign Affairs and Trade&#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3166745" cy="554355"/>
                  </a:xfrm>
                  <a:prstGeom prst="rect">
                    <a:avLst/>
                  </a:prstGeom>
                </pic:spPr>
              </pic:pic>
            </a:graphicData>
          </a:graphic>
        </wp:inline>
      </w:drawing>
    </w:r>
    <w:r w:rsidRPr="00943730">
      <w:rPr>
        <w:noProof/>
        <w:lang w:val="en-AU" w:eastAsia="en-AU"/>
      </w:rPr>
      <w:drawing>
        <wp:anchor distT="0" distB="0" distL="114300" distR="114300" simplePos="0" relativeHeight="251656192" behindDoc="1" locked="1" layoutInCell="1" allowOverlap="1" wp14:anchorId="5F2268FF" wp14:editId="7A7C58B2">
          <wp:simplePos x="0" y="0"/>
          <wp:positionH relativeFrom="page">
            <wp:posOffset>12700</wp:posOffset>
          </wp:positionH>
          <wp:positionV relativeFrom="page">
            <wp:posOffset>0</wp:posOffset>
          </wp:positionV>
          <wp:extent cx="7559040" cy="10692765"/>
          <wp:effectExtent l="0" t="0" r="3810" b="0"/>
          <wp:wrapNone/>
          <wp:docPr id="241" name="Picture 2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2">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7102F"/>
    <w:multiLevelType w:val="hybridMultilevel"/>
    <w:tmpl w:val="FFFFFFFF"/>
    <w:lvl w:ilvl="0" w:tplc="1B3AD7DE">
      <w:start w:val="1"/>
      <w:numFmt w:val="bullet"/>
      <w:lvlText w:val=""/>
      <w:lvlJc w:val="left"/>
      <w:pPr>
        <w:ind w:left="720" w:hanging="360"/>
      </w:pPr>
      <w:rPr>
        <w:rFonts w:ascii="Symbol" w:hAnsi="Symbol" w:hint="default"/>
      </w:rPr>
    </w:lvl>
    <w:lvl w:ilvl="1" w:tplc="DE3E6AD8">
      <w:start w:val="1"/>
      <w:numFmt w:val="bullet"/>
      <w:lvlText w:val=""/>
      <w:lvlJc w:val="left"/>
      <w:pPr>
        <w:ind w:left="1440" w:hanging="360"/>
      </w:pPr>
      <w:rPr>
        <w:rFonts w:ascii="Symbol" w:hAnsi="Symbol" w:hint="default"/>
      </w:rPr>
    </w:lvl>
    <w:lvl w:ilvl="2" w:tplc="55528BE2">
      <w:start w:val="1"/>
      <w:numFmt w:val="bullet"/>
      <w:lvlText w:val=""/>
      <w:lvlJc w:val="left"/>
      <w:pPr>
        <w:ind w:left="2160" w:hanging="360"/>
      </w:pPr>
      <w:rPr>
        <w:rFonts w:ascii="Wingdings" w:hAnsi="Wingdings" w:hint="default"/>
      </w:rPr>
    </w:lvl>
    <w:lvl w:ilvl="3" w:tplc="C900916E">
      <w:start w:val="1"/>
      <w:numFmt w:val="bullet"/>
      <w:lvlText w:val=""/>
      <w:lvlJc w:val="left"/>
      <w:pPr>
        <w:ind w:left="2880" w:hanging="360"/>
      </w:pPr>
      <w:rPr>
        <w:rFonts w:ascii="Symbol" w:hAnsi="Symbol" w:hint="default"/>
      </w:rPr>
    </w:lvl>
    <w:lvl w:ilvl="4" w:tplc="CF9AECE2">
      <w:start w:val="1"/>
      <w:numFmt w:val="bullet"/>
      <w:lvlText w:val="o"/>
      <w:lvlJc w:val="left"/>
      <w:pPr>
        <w:ind w:left="3600" w:hanging="360"/>
      </w:pPr>
      <w:rPr>
        <w:rFonts w:ascii="Courier New" w:hAnsi="Courier New" w:cs="Times New Roman" w:hint="default"/>
      </w:rPr>
    </w:lvl>
    <w:lvl w:ilvl="5" w:tplc="60C4CAAC">
      <w:start w:val="1"/>
      <w:numFmt w:val="bullet"/>
      <w:lvlText w:val=""/>
      <w:lvlJc w:val="left"/>
      <w:pPr>
        <w:ind w:left="4320" w:hanging="360"/>
      </w:pPr>
      <w:rPr>
        <w:rFonts w:ascii="Wingdings" w:hAnsi="Wingdings" w:hint="default"/>
      </w:rPr>
    </w:lvl>
    <w:lvl w:ilvl="6" w:tplc="C818D9AA">
      <w:start w:val="1"/>
      <w:numFmt w:val="bullet"/>
      <w:lvlText w:val=""/>
      <w:lvlJc w:val="left"/>
      <w:pPr>
        <w:ind w:left="5040" w:hanging="360"/>
      </w:pPr>
      <w:rPr>
        <w:rFonts w:ascii="Symbol" w:hAnsi="Symbol" w:hint="default"/>
      </w:rPr>
    </w:lvl>
    <w:lvl w:ilvl="7" w:tplc="F3E66D44">
      <w:start w:val="1"/>
      <w:numFmt w:val="bullet"/>
      <w:lvlText w:val="o"/>
      <w:lvlJc w:val="left"/>
      <w:pPr>
        <w:ind w:left="5760" w:hanging="360"/>
      </w:pPr>
      <w:rPr>
        <w:rFonts w:ascii="Courier New" w:hAnsi="Courier New" w:cs="Times New Roman" w:hint="default"/>
      </w:rPr>
    </w:lvl>
    <w:lvl w:ilvl="8" w:tplc="35C08854">
      <w:start w:val="1"/>
      <w:numFmt w:val="bullet"/>
      <w:lvlText w:val=""/>
      <w:lvlJc w:val="left"/>
      <w:pPr>
        <w:ind w:left="6480" w:hanging="360"/>
      </w:pPr>
      <w:rPr>
        <w:rFonts w:ascii="Wingdings" w:hAnsi="Wingdings" w:hint="default"/>
      </w:rPr>
    </w:lvl>
  </w:abstractNum>
  <w:abstractNum w:abstractNumId="1" w15:restartNumberingAfterBreak="0">
    <w:nsid w:val="05BC3651"/>
    <w:multiLevelType w:val="hybridMultilevel"/>
    <w:tmpl w:val="22E03FB4"/>
    <w:lvl w:ilvl="0" w:tplc="D23E4F24">
      <w:start w:val="1"/>
      <w:numFmt w:val="bullet"/>
      <w:lvlText w:val="-"/>
      <w:lvlJc w:val="left"/>
      <w:pPr>
        <w:ind w:left="720" w:hanging="720"/>
      </w:pPr>
      <w:rPr>
        <w:rFonts w:ascii="Calibri" w:eastAsiaTheme="minorEastAsia"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 w15:restartNumberingAfterBreak="0">
    <w:nsid w:val="0A2721CE"/>
    <w:multiLevelType w:val="hybridMultilevel"/>
    <w:tmpl w:val="1FB26F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0F7B06E3"/>
    <w:multiLevelType w:val="hybridMultilevel"/>
    <w:tmpl w:val="B406E5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52117B"/>
    <w:multiLevelType w:val="hybridMultilevel"/>
    <w:tmpl w:val="ED4E69FA"/>
    <w:lvl w:ilvl="0" w:tplc="482A01AE">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57071E"/>
    <w:multiLevelType w:val="hybridMultilevel"/>
    <w:tmpl w:val="645456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DE0C65"/>
    <w:multiLevelType w:val="hybridMultilevel"/>
    <w:tmpl w:val="5622D5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9" w15:restartNumberingAfterBreak="0">
    <w:nsid w:val="191612AA"/>
    <w:multiLevelType w:val="hybridMultilevel"/>
    <w:tmpl w:val="6DCEEA88"/>
    <w:lvl w:ilvl="0" w:tplc="63842D92">
      <w:numFmt w:val="bullet"/>
      <w:lvlText w:val=""/>
      <w:lvlJc w:val="left"/>
      <w:pPr>
        <w:ind w:left="360" w:hanging="360"/>
      </w:pPr>
      <w:rPr>
        <w:rFonts w:ascii="Symbol" w:eastAsiaTheme="minorHAnsi" w:hAnsi="Symbol"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C453D2F"/>
    <w:multiLevelType w:val="multilevel"/>
    <w:tmpl w:val="51963F56"/>
    <w:numStyleLink w:val="BulletsList"/>
  </w:abstractNum>
  <w:abstractNum w:abstractNumId="11" w15:restartNumberingAfterBreak="0">
    <w:nsid w:val="1F106048"/>
    <w:multiLevelType w:val="hybridMultilevel"/>
    <w:tmpl w:val="E8AE047C"/>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3" w15:restartNumberingAfterBreak="0">
    <w:nsid w:val="33726202"/>
    <w:multiLevelType w:val="hybridMultilevel"/>
    <w:tmpl w:val="73086C9E"/>
    <w:lvl w:ilvl="0" w:tplc="77821B3A">
      <w:start w:val="1"/>
      <w:numFmt w:val="bullet"/>
      <w:lvlText w:val="o"/>
      <w:lvlJc w:val="left"/>
      <w:pPr>
        <w:ind w:left="720" w:hanging="360"/>
      </w:pPr>
      <w:rPr>
        <w:rFonts w:ascii="Courier New" w:hAnsi="Courier New" w:hint="default"/>
      </w:rPr>
    </w:lvl>
    <w:lvl w:ilvl="1" w:tplc="0A386858">
      <w:start w:val="1"/>
      <w:numFmt w:val="bullet"/>
      <w:lvlText w:val="o"/>
      <w:lvlJc w:val="left"/>
      <w:pPr>
        <w:ind w:left="1440" w:hanging="360"/>
      </w:pPr>
      <w:rPr>
        <w:rFonts w:ascii="Courier New" w:hAnsi="Courier New" w:hint="default"/>
      </w:rPr>
    </w:lvl>
    <w:lvl w:ilvl="2" w:tplc="7A384ECE">
      <w:start w:val="1"/>
      <w:numFmt w:val="bullet"/>
      <w:lvlText w:val=""/>
      <w:lvlJc w:val="left"/>
      <w:pPr>
        <w:ind w:left="2160" w:hanging="360"/>
      </w:pPr>
      <w:rPr>
        <w:rFonts w:ascii="Wingdings" w:hAnsi="Wingdings" w:hint="default"/>
      </w:rPr>
    </w:lvl>
    <w:lvl w:ilvl="3" w:tplc="9134F87A">
      <w:start w:val="1"/>
      <w:numFmt w:val="bullet"/>
      <w:lvlText w:val=""/>
      <w:lvlJc w:val="left"/>
      <w:pPr>
        <w:ind w:left="2880" w:hanging="360"/>
      </w:pPr>
      <w:rPr>
        <w:rFonts w:ascii="Symbol" w:hAnsi="Symbol" w:hint="default"/>
      </w:rPr>
    </w:lvl>
    <w:lvl w:ilvl="4" w:tplc="EDA8DCDE">
      <w:start w:val="1"/>
      <w:numFmt w:val="bullet"/>
      <w:lvlText w:val="o"/>
      <w:lvlJc w:val="left"/>
      <w:pPr>
        <w:ind w:left="3600" w:hanging="360"/>
      </w:pPr>
      <w:rPr>
        <w:rFonts w:ascii="Courier New" w:hAnsi="Courier New" w:hint="default"/>
      </w:rPr>
    </w:lvl>
    <w:lvl w:ilvl="5" w:tplc="F484FA46">
      <w:start w:val="1"/>
      <w:numFmt w:val="bullet"/>
      <w:lvlText w:val=""/>
      <w:lvlJc w:val="left"/>
      <w:pPr>
        <w:ind w:left="4320" w:hanging="360"/>
      </w:pPr>
      <w:rPr>
        <w:rFonts w:ascii="Wingdings" w:hAnsi="Wingdings" w:hint="default"/>
      </w:rPr>
    </w:lvl>
    <w:lvl w:ilvl="6" w:tplc="E2EE733A">
      <w:start w:val="1"/>
      <w:numFmt w:val="bullet"/>
      <w:lvlText w:val=""/>
      <w:lvlJc w:val="left"/>
      <w:pPr>
        <w:ind w:left="5040" w:hanging="360"/>
      </w:pPr>
      <w:rPr>
        <w:rFonts w:ascii="Symbol" w:hAnsi="Symbol" w:hint="default"/>
      </w:rPr>
    </w:lvl>
    <w:lvl w:ilvl="7" w:tplc="04743FFC">
      <w:start w:val="1"/>
      <w:numFmt w:val="bullet"/>
      <w:lvlText w:val="o"/>
      <w:lvlJc w:val="left"/>
      <w:pPr>
        <w:ind w:left="5760" w:hanging="360"/>
      </w:pPr>
      <w:rPr>
        <w:rFonts w:ascii="Courier New" w:hAnsi="Courier New" w:hint="default"/>
      </w:rPr>
    </w:lvl>
    <w:lvl w:ilvl="8" w:tplc="2DB4BA28">
      <w:start w:val="1"/>
      <w:numFmt w:val="bullet"/>
      <w:lvlText w:val=""/>
      <w:lvlJc w:val="left"/>
      <w:pPr>
        <w:ind w:left="6480" w:hanging="360"/>
      </w:pPr>
      <w:rPr>
        <w:rFonts w:ascii="Wingdings" w:hAnsi="Wingdings" w:hint="default"/>
      </w:rPr>
    </w:lvl>
  </w:abstractNum>
  <w:abstractNum w:abstractNumId="14" w15:restartNumberingAfterBreak="0">
    <w:nsid w:val="374816A4"/>
    <w:multiLevelType w:val="hybridMultilevel"/>
    <w:tmpl w:val="91F87D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7D218FE"/>
    <w:multiLevelType w:val="hybridMultilevel"/>
    <w:tmpl w:val="F7E0DD70"/>
    <w:lvl w:ilvl="0" w:tplc="2BB4DE5E">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831519F"/>
    <w:multiLevelType w:val="hybridMultilevel"/>
    <w:tmpl w:val="F40C32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8"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9" w15:restartNumberingAfterBreak="0">
    <w:nsid w:val="61DA2E64"/>
    <w:multiLevelType w:val="hybridMultilevel"/>
    <w:tmpl w:val="E780C9F4"/>
    <w:lvl w:ilvl="0" w:tplc="C6D2D862">
      <w:numFmt w:val="bullet"/>
      <w:lvlText w:val=""/>
      <w:lvlJc w:val="left"/>
      <w:pPr>
        <w:ind w:left="360" w:hanging="360"/>
      </w:pPr>
      <w:rPr>
        <w:rFonts w:ascii="Symbol" w:eastAsiaTheme="minorHAnsi" w:hAnsi="Symbol"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3107305"/>
    <w:multiLevelType w:val="multilevel"/>
    <w:tmpl w:val="51963F56"/>
    <w:styleLink w:val="BulletsList"/>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1" w15:restartNumberingAfterBreak="0">
    <w:nsid w:val="75F04C4E"/>
    <w:multiLevelType w:val="hybridMultilevel"/>
    <w:tmpl w:val="FFFFFFFF"/>
    <w:lvl w:ilvl="0" w:tplc="2BB4DE5E">
      <w:start w:val="1"/>
      <w:numFmt w:val="bullet"/>
      <w:lvlText w:val=""/>
      <w:lvlJc w:val="left"/>
      <w:pPr>
        <w:ind w:left="720" w:hanging="360"/>
      </w:pPr>
      <w:rPr>
        <w:rFonts w:ascii="Symbol" w:hAnsi="Symbol" w:hint="default"/>
      </w:rPr>
    </w:lvl>
    <w:lvl w:ilvl="1" w:tplc="7BAC05A6">
      <w:start w:val="1"/>
      <w:numFmt w:val="bullet"/>
      <w:lvlText w:val="o"/>
      <w:lvlJc w:val="left"/>
      <w:pPr>
        <w:ind w:left="1440" w:hanging="360"/>
      </w:pPr>
      <w:rPr>
        <w:rFonts w:ascii="Courier New" w:hAnsi="Courier New" w:cs="Times New Roman" w:hint="default"/>
      </w:rPr>
    </w:lvl>
    <w:lvl w:ilvl="2" w:tplc="00B0AAC2">
      <w:start w:val="1"/>
      <w:numFmt w:val="bullet"/>
      <w:lvlText w:val=""/>
      <w:lvlJc w:val="left"/>
      <w:pPr>
        <w:ind w:left="2160" w:hanging="360"/>
      </w:pPr>
      <w:rPr>
        <w:rFonts w:ascii="Wingdings" w:hAnsi="Wingdings" w:hint="default"/>
      </w:rPr>
    </w:lvl>
    <w:lvl w:ilvl="3" w:tplc="5386BC5A">
      <w:start w:val="1"/>
      <w:numFmt w:val="bullet"/>
      <w:lvlText w:val=""/>
      <w:lvlJc w:val="left"/>
      <w:pPr>
        <w:ind w:left="2880" w:hanging="360"/>
      </w:pPr>
      <w:rPr>
        <w:rFonts w:ascii="Symbol" w:hAnsi="Symbol" w:hint="default"/>
      </w:rPr>
    </w:lvl>
    <w:lvl w:ilvl="4" w:tplc="79D0C772">
      <w:start w:val="1"/>
      <w:numFmt w:val="bullet"/>
      <w:lvlText w:val="o"/>
      <w:lvlJc w:val="left"/>
      <w:pPr>
        <w:ind w:left="3600" w:hanging="360"/>
      </w:pPr>
      <w:rPr>
        <w:rFonts w:ascii="Courier New" w:hAnsi="Courier New" w:cs="Times New Roman" w:hint="default"/>
      </w:rPr>
    </w:lvl>
    <w:lvl w:ilvl="5" w:tplc="041AC3A6">
      <w:start w:val="1"/>
      <w:numFmt w:val="bullet"/>
      <w:lvlText w:val=""/>
      <w:lvlJc w:val="left"/>
      <w:pPr>
        <w:ind w:left="4320" w:hanging="360"/>
      </w:pPr>
      <w:rPr>
        <w:rFonts w:ascii="Wingdings" w:hAnsi="Wingdings" w:hint="default"/>
      </w:rPr>
    </w:lvl>
    <w:lvl w:ilvl="6" w:tplc="62BC4DC4">
      <w:start w:val="1"/>
      <w:numFmt w:val="bullet"/>
      <w:lvlText w:val=""/>
      <w:lvlJc w:val="left"/>
      <w:pPr>
        <w:ind w:left="5040" w:hanging="360"/>
      </w:pPr>
      <w:rPr>
        <w:rFonts w:ascii="Symbol" w:hAnsi="Symbol" w:hint="default"/>
      </w:rPr>
    </w:lvl>
    <w:lvl w:ilvl="7" w:tplc="EE2A5E2C">
      <w:start w:val="1"/>
      <w:numFmt w:val="bullet"/>
      <w:lvlText w:val="o"/>
      <w:lvlJc w:val="left"/>
      <w:pPr>
        <w:ind w:left="5760" w:hanging="360"/>
      </w:pPr>
      <w:rPr>
        <w:rFonts w:ascii="Courier New" w:hAnsi="Courier New" w:cs="Times New Roman" w:hint="default"/>
      </w:rPr>
    </w:lvl>
    <w:lvl w:ilvl="8" w:tplc="21284E72">
      <w:start w:val="1"/>
      <w:numFmt w:val="bullet"/>
      <w:lvlText w:val=""/>
      <w:lvlJc w:val="left"/>
      <w:pPr>
        <w:ind w:left="6480" w:hanging="360"/>
      </w:pPr>
      <w:rPr>
        <w:rFonts w:ascii="Wingdings" w:hAnsi="Wingdings" w:hint="default"/>
      </w:rPr>
    </w:lvl>
  </w:abstractNum>
  <w:abstractNum w:abstractNumId="22"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3" w15:restartNumberingAfterBreak="0">
    <w:nsid w:val="7FE65CFB"/>
    <w:multiLevelType w:val="hybridMultilevel"/>
    <w:tmpl w:val="C0749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3"/>
  </w:num>
  <w:num w:numId="2">
    <w:abstractNumId w:val="20"/>
  </w:num>
  <w:num w:numId="3">
    <w:abstractNumId w:val="3"/>
  </w:num>
  <w:num w:numId="4">
    <w:abstractNumId w:val="12"/>
  </w:num>
  <w:num w:numId="5">
    <w:abstractNumId w:val="17"/>
  </w:num>
  <w:num w:numId="6">
    <w:abstractNumId w:val="18"/>
  </w:num>
  <w:num w:numId="7">
    <w:abstractNumId w:val="12"/>
  </w:num>
  <w:num w:numId="8">
    <w:abstractNumId w:val="3"/>
  </w:num>
  <w:num w:numId="9">
    <w:abstractNumId w:val="8"/>
  </w:num>
  <w:num w:numId="10">
    <w:abstractNumId w:val="22"/>
  </w:num>
  <w:num w:numId="11">
    <w:abstractNumId w:val="10"/>
  </w:num>
  <w:num w:numId="12">
    <w:abstractNumId w:val="10"/>
  </w:num>
  <w:num w:numId="13">
    <w:abstractNumId w:val="10"/>
  </w:num>
  <w:num w:numId="14">
    <w:abstractNumId w:val="10"/>
  </w:num>
  <w:num w:numId="15">
    <w:abstractNumId w:val="9"/>
  </w:num>
  <w:num w:numId="16">
    <w:abstractNumId w:val="19"/>
  </w:num>
  <w:num w:numId="17">
    <w:abstractNumId w:val="6"/>
  </w:num>
  <w:num w:numId="18">
    <w:abstractNumId w:val="7"/>
  </w:num>
  <w:num w:numId="19">
    <w:abstractNumId w:val="23"/>
  </w:num>
  <w:num w:numId="20">
    <w:abstractNumId w:val="11"/>
  </w:num>
  <w:num w:numId="21">
    <w:abstractNumId w:val="14"/>
  </w:num>
  <w:num w:numId="22">
    <w:abstractNumId w:val="16"/>
  </w:num>
  <w:num w:numId="23">
    <w:abstractNumId w:val="1"/>
  </w:num>
  <w:num w:numId="24">
    <w:abstractNumId w:val="1"/>
  </w:num>
  <w:num w:numId="25">
    <w:abstractNumId w:val="2"/>
  </w:num>
  <w:num w:numId="26">
    <w:abstractNumId w:val="0"/>
  </w:num>
  <w:num w:numId="27">
    <w:abstractNumId w:val="21"/>
  </w:num>
  <w:num w:numId="28">
    <w:abstractNumId w:val="21"/>
  </w:num>
  <w:num w:numId="29">
    <w:abstractNumId w:val="15"/>
  </w:num>
  <w:num w:numId="30">
    <w:abstractNumId w:val="4"/>
  </w:num>
  <w:num w:numId="31">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E9A"/>
    <w:rsid w:val="00000963"/>
    <w:rsid w:val="00001DA8"/>
    <w:rsid w:val="000020C1"/>
    <w:rsid w:val="0002080A"/>
    <w:rsid w:val="0002782F"/>
    <w:rsid w:val="00031486"/>
    <w:rsid w:val="00035BBF"/>
    <w:rsid w:val="00050806"/>
    <w:rsid w:val="000546D9"/>
    <w:rsid w:val="00054E4D"/>
    <w:rsid w:val="00060073"/>
    <w:rsid w:val="000616C6"/>
    <w:rsid w:val="000662F9"/>
    <w:rsid w:val="00076F1B"/>
    <w:rsid w:val="000854FD"/>
    <w:rsid w:val="00086936"/>
    <w:rsid w:val="00094D42"/>
    <w:rsid w:val="00097A1A"/>
    <w:rsid w:val="000A407E"/>
    <w:rsid w:val="000B37F5"/>
    <w:rsid w:val="000B4865"/>
    <w:rsid w:val="000C1D20"/>
    <w:rsid w:val="000C3208"/>
    <w:rsid w:val="000D0465"/>
    <w:rsid w:val="000D66D6"/>
    <w:rsid w:val="000E52B8"/>
    <w:rsid w:val="000E6399"/>
    <w:rsid w:val="000F741A"/>
    <w:rsid w:val="00100B38"/>
    <w:rsid w:val="00102A6A"/>
    <w:rsid w:val="00103CF5"/>
    <w:rsid w:val="00106715"/>
    <w:rsid w:val="00113288"/>
    <w:rsid w:val="00115AEF"/>
    <w:rsid w:val="00116AD7"/>
    <w:rsid w:val="00117497"/>
    <w:rsid w:val="001214BE"/>
    <w:rsid w:val="00121E2A"/>
    <w:rsid w:val="00122032"/>
    <w:rsid w:val="00127E6B"/>
    <w:rsid w:val="0013101C"/>
    <w:rsid w:val="00136B5E"/>
    <w:rsid w:val="001461D6"/>
    <w:rsid w:val="001541EA"/>
    <w:rsid w:val="001562A0"/>
    <w:rsid w:val="00163A77"/>
    <w:rsid w:val="00163DBA"/>
    <w:rsid w:val="0018195F"/>
    <w:rsid w:val="001952E7"/>
    <w:rsid w:val="00195535"/>
    <w:rsid w:val="001A64BF"/>
    <w:rsid w:val="001A65F8"/>
    <w:rsid w:val="001D0CFD"/>
    <w:rsid w:val="001D663E"/>
    <w:rsid w:val="001E02AA"/>
    <w:rsid w:val="001E1DC0"/>
    <w:rsid w:val="001E548C"/>
    <w:rsid w:val="001E6CD8"/>
    <w:rsid w:val="001E6D20"/>
    <w:rsid w:val="001F29F2"/>
    <w:rsid w:val="001F74E4"/>
    <w:rsid w:val="00203533"/>
    <w:rsid w:val="00204EC4"/>
    <w:rsid w:val="00207181"/>
    <w:rsid w:val="00207FF9"/>
    <w:rsid w:val="002163A2"/>
    <w:rsid w:val="00224671"/>
    <w:rsid w:val="00244229"/>
    <w:rsid w:val="00265C21"/>
    <w:rsid w:val="002713E8"/>
    <w:rsid w:val="00281BF2"/>
    <w:rsid w:val="00284DA1"/>
    <w:rsid w:val="0028602A"/>
    <w:rsid w:val="00295342"/>
    <w:rsid w:val="0029768D"/>
    <w:rsid w:val="002A0ACD"/>
    <w:rsid w:val="002A27E6"/>
    <w:rsid w:val="002A5109"/>
    <w:rsid w:val="002A66B4"/>
    <w:rsid w:val="002B152C"/>
    <w:rsid w:val="002B5E10"/>
    <w:rsid w:val="002B6954"/>
    <w:rsid w:val="002B7E31"/>
    <w:rsid w:val="002C022B"/>
    <w:rsid w:val="002C793D"/>
    <w:rsid w:val="002D12B8"/>
    <w:rsid w:val="002D5B25"/>
    <w:rsid w:val="002F4F2B"/>
    <w:rsid w:val="003002C0"/>
    <w:rsid w:val="00301144"/>
    <w:rsid w:val="003031C6"/>
    <w:rsid w:val="00304984"/>
    <w:rsid w:val="00306D60"/>
    <w:rsid w:val="00312BF8"/>
    <w:rsid w:val="003148B7"/>
    <w:rsid w:val="003158C3"/>
    <w:rsid w:val="00321953"/>
    <w:rsid w:val="00323106"/>
    <w:rsid w:val="00324FA2"/>
    <w:rsid w:val="003274CD"/>
    <w:rsid w:val="00333501"/>
    <w:rsid w:val="003457C4"/>
    <w:rsid w:val="003470D8"/>
    <w:rsid w:val="0035119D"/>
    <w:rsid w:val="00374741"/>
    <w:rsid w:val="003778BF"/>
    <w:rsid w:val="00380A80"/>
    <w:rsid w:val="00384DAE"/>
    <w:rsid w:val="0039344A"/>
    <w:rsid w:val="0039557A"/>
    <w:rsid w:val="003B4F12"/>
    <w:rsid w:val="003C6C4F"/>
    <w:rsid w:val="003D2290"/>
    <w:rsid w:val="003D2590"/>
    <w:rsid w:val="003E55A3"/>
    <w:rsid w:val="003E6C11"/>
    <w:rsid w:val="003F0F23"/>
    <w:rsid w:val="003F2041"/>
    <w:rsid w:val="00400BC5"/>
    <w:rsid w:val="00402ACC"/>
    <w:rsid w:val="00403943"/>
    <w:rsid w:val="0040430D"/>
    <w:rsid w:val="004120EC"/>
    <w:rsid w:val="00414628"/>
    <w:rsid w:val="00423F31"/>
    <w:rsid w:val="00426AF2"/>
    <w:rsid w:val="00427E6C"/>
    <w:rsid w:val="00431899"/>
    <w:rsid w:val="00440CDC"/>
    <w:rsid w:val="004720FE"/>
    <w:rsid w:val="00482AE8"/>
    <w:rsid w:val="00486804"/>
    <w:rsid w:val="004942F6"/>
    <w:rsid w:val="004B3775"/>
    <w:rsid w:val="004D0BA0"/>
    <w:rsid w:val="004D7A69"/>
    <w:rsid w:val="004E058F"/>
    <w:rsid w:val="004E3B87"/>
    <w:rsid w:val="004F01EC"/>
    <w:rsid w:val="004F6152"/>
    <w:rsid w:val="00501398"/>
    <w:rsid w:val="00510921"/>
    <w:rsid w:val="00510AD3"/>
    <w:rsid w:val="00510FA8"/>
    <w:rsid w:val="00513348"/>
    <w:rsid w:val="00513AD8"/>
    <w:rsid w:val="005204D2"/>
    <w:rsid w:val="00522396"/>
    <w:rsid w:val="00524117"/>
    <w:rsid w:val="005250C5"/>
    <w:rsid w:val="005258C0"/>
    <w:rsid w:val="00533B5D"/>
    <w:rsid w:val="00541A89"/>
    <w:rsid w:val="00543D5C"/>
    <w:rsid w:val="005472DE"/>
    <w:rsid w:val="00551510"/>
    <w:rsid w:val="00551B77"/>
    <w:rsid w:val="00567266"/>
    <w:rsid w:val="00587B3C"/>
    <w:rsid w:val="005A20F6"/>
    <w:rsid w:val="005B6905"/>
    <w:rsid w:val="005C728A"/>
    <w:rsid w:val="005D2346"/>
    <w:rsid w:val="005D2646"/>
    <w:rsid w:val="005D279B"/>
    <w:rsid w:val="005D2C61"/>
    <w:rsid w:val="005D3655"/>
    <w:rsid w:val="005D3B3A"/>
    <w:rsid w:val="005D615E"/>
    <w:rsid w:val="005E4830"/>
    <w:rsid w:val="005F2612"/>
    <w:rsid w:val="006067FB"/>
    <w:rsid w:val="00622B86"/>
    <w:rsid w:val="00623BA1"/>
    <w:rsid w:val="00627CA6"/>
    <w:rsid w:val="00627FD4"/>
    <w:rsid w:val="006346BC"/>
    <w:rsid w:val="006454F0"/>
    <w:rsid w:val="0064600B"/>
    <w:rsid w:val="00651C4B"/>
    <w:rsid w:val="0066652A"/>
    <w:rsid w:val="006719C3"/>
    <w:rsid w:val="0067797F"/>
    <w:rsid w:val="00680522"/>
    <w:rsid w:val="00682167"/>
    <w:rsid w:val="00692D96"/>
    <w:rsid w:val="006C25E1"/>
    <w:rsid w:val="006C42AF"/>
    <w:rsid w:val="006D028F"/>
    <w:rsid w:val="006D5BBB"/>
    <w:rsid w:val="006D6E15"/>
    <w:rsid w:val="006E2E69"/>
    <w:rsid w:val="006F04F1"/>
    <w:rsid w:val="006F1B46"/>
    <w:rsid w:val="006F5EEF"/>
    <w:rsid w:val="0070384E"/>
    <w:rsid w:val="00711D8E"/>
    <w:rsid w:val="00712672"/>
    <w:rsid w:val="00734E3F"/>
    <w:rsid w:val="00736985"/>
    <w:rsid w:val="00741C23"/>
    <w:rsid w:val="00745DF5"/>
    <w:rsid w:val="0074692E"/>
    <w:rsid w:val="00750C83"/>
    <w:rsid w:val="00755657"/>
    <w:rsid w:val="007619E0"/>
    <w:rsid w:val="0076250F"/>
    <w:rsid w:val="00766301"/>
    <w:rsid w:val="00770DBC"/>
    <w:rsid w:val="00770F4B"/>
    <w:rsid w:val="00780FA5"/>
    <w:rsid w:val="0078566B"/>
    <w:rsid w:val="0078747E"/>
    <w:rsid w:val="00793DCA"/>
    <w:rsid w:val="007979F9"/>
    <w:rsid w:val="007A747C"/>
    <w:rsid w:val="007B6200"/>
    <w:rsid w:val="007C70DD"/>
    <w:rsid w:val="007D51B3"/>
    <w:rsid w:val="007E556D"/>
    <w:rsid w:val="007E7D68"/>
    <w:rsid w:val="007F3395"/>
    <w:rsid w:val="00800F7C"/>
    <w:rsid w:val="00801A2D"/>
    <w:rsid w:val="00801B9F"/>
    <w:rsid w:val="0080204D"/>
    <w:rsid w:val="00802A76"/>
    <w:rsid w:val="0080448B"/>
    <w:rsid w:val="008142BA"/>
    <w:rsid w:val="008270F0"/>
    <w:rsid w:val="00830F6C"/>
    <w:rsid w:val="008317E1"/>
    <w:rsid w:val="00837427"/>
    <w:rsid w:val="0084191E"/>
    <w:rsid w:val="008475F0"/>
    <w:rsid w:val="00850910"/>
    <w:rsid w:val="008557A7"/>
    <w:rsid w:val="00870928"/>
    <w:rsid w:val="0087158D"/>
    <w:rsid w:val="00872AA6"/>
    <w:rsid w:val="0089405C"/>
    <w:rsid w:val="00897FA2"/>
    <w:rsid w:val="008A3736"/>
    <w:rsid w:val="008A5AFE"/>
    <w:rsid w:val="008A6485"/>
    <w:rsid w:val="008C30D4"/>
    <w:rsid w:val="008C5A0E"/>
    <w:rsid w:val="008C7588"/>
    <w:rsid w:val="008D5CDB"/>
    <w:rsid w:val="008E1DD6"/>
    <w:rsid w:val="008F24E7"/>
    <w:rsid w:val="009068E3"/>
    <w:rsid w:val="00916E1F"/>
    <w:rsid w:val="00920046"/>
    <w:rsid w:val="00921112"/>
    <w:rsid w:val="00922950"/>
    <w:rsid w:val="00922D98"/>
    <w:rsid w:val="0092336C"/>
    <w:rsid w:val="009311D2"/>
    <w:rsid w:val="009330B3"/>
    <w:rsid w:val="0094139D"/>
    <w:rsid w:val="00943730"/>
    <w:rsid w:val="009525BD"/>
    <w:rsid w:val="00965398"/>
    <w:rsid w:val="009704CA"/>
    <w:rsid w:val="009742AA"/>
    <w:rsid w:val="00974798"/>
    <w:rsid w:val="00975CA5"/>
    <w:rsid w:val="009838B0"/>
    <w:rsid w:val="00986590"/>
    <w:rsid w:val="00992C76"/>
    <w:rsid w:val="00995889"/>
    <w:rsid w:val="009969D6"/>
    <w:rsid w:val="009A47F6"/>
    <w:rsid w:val="009A6862"/>
    <w:rsid w:val="009B4D3B"/>
    <w:rsid w:val="009D5259"/>
    <w:rsid w:val="009D55EC"/>
    <w:rsid w:val="009D7407"/>
    <w:rsid w:val="009E0866"/>
    <w:rsid w:val="009E273C"/>
    <w:rsid w:val="009F1350"/>
    <w:rsid w:val="009F6423"/>
    <w:rsid w:val="00A158EE"/>
    <w:rsid w:val="00A22962"/>
    <w:rsid w:val="00A238F1"/>
    <w:rsid w:val="00A24A62"/>
    <w:rsid w:val="00A24CBE"/>
    <w:rsid w:val="00A30BCB"/>
    <w:rsid w:val="00A31C9F"/>
    <w:rsid w:val="00A40622"/>
    <w:rsid w:val="00A4144F"/>
    <w:rsid w:val="00A43CA8"/>
    <w:rsid w:val="00A51F06"/>
    <w:rsid w:val="00A61B4D"/>
    <w:rsid w:val="00A62777"/>
    <w:rsid w:val="00A62EEB"/>
    <w:rsid w:val="00A64D61"/>
    <w:rsid w:val="00A74E88"/>
    <w:rsid w:val="00A80F95"/>
    <w:rsid w:val="00A82C60"/>
    <w:rsid w:val="00A97BF1"/>
    <w:rsid w:val="00A97C52"/>
    <w:rsid w:val="00AA298A"/>
    <w:rsid w:val="00AA2CB9"/>
    <w:rsid w:val="00AB0D54"/>
    <w:rsid w:val="00AC164A"/>
    <w:rsid w:val="00AD646B"/>
    <w:rsid w:val="00AD657D"/>
    <w:rsid w:val="00AE448A"/>
    <w:rsid w:val="00AE4E9A"/>
    <w:rsid w:val="00AF2050"/>
    <w:rsid w:val="00B02B2A"/>
    <w:rsid w:val="00B03CA8"/>
    <w:rsid w:val="00B1201F"/>
    <w:rsid w:val="00B33C0A"/>
    <w:rsid w:val="00B40E24"/>
    <w:rsid w:val="00B43043"/>
    <w:rsid w:val="00B477F5"/>
    <w:rsid w:val="00B55E19"/>
    <w:rsid w:val="00B635ED"/>
    <w:rsid w:val="00B64489"/>
    <w:rsid w:val="00B67F43"/>
    <w:rsid w:val="00B81F47"/>
    <w:rsid w:val="00B857E1"/>
    <w:rsid w:val="00B94758"/>
    <w:rsid w:val="00BA282A"/>
    <w:rsid w:val="00BA4B6D"/>
    <w:rsid w:val="00BB26C5"/>
    <w:rsid w:val="00BB7958"/>
    <w:rsid w:val="00BC3055"/>
    <w:rsid w:val="00BF4DE6"/>
    <w:rsid w:val="00C03677"/>
    <w:rsid w:val="00C06B13"/>
    <w:rsid w:val="00C110FA"/>
    <w:rsid w:val="00C27D25"/>
    <w:rsid w:val="00C35791"/>
    <w:rsid w:val="00C37087"/>
    <w:rsid w:val="00C42541"/>
    <w:rsid w:val="00C42CDE"/>
    <w:rsid w:val="00C42EB7"/>
    <w:rsid w:val="00C5182A"/>
    <w:rsid w:val="00C5712E"/>
    <w:rsid w:val="00C60108"/>
    <w:rsid w:val="00C63EE9"/>
    <w:rsid w:val="00C73530"/>
    <w:rsid w:val="00C82B63"/>
    <w:rsid w:val="00C9161E"/>
    <w:rsid w:val="00C92B56"/>
    <w:rsid w:val="00CA16F3"/>
    <w:rsid w:val="00CA37B1"/>
    <w:rsid w:val="00CB11B2"/>
    <w:rsid w:val="00CB1959"/>
    <w:rsid w:val="00CB3B93"/>
    <w:rsid w:val="00CC741B"/>
    <w:rsid w:val="00CC75F5"/>
    <w:rsid w:val="00CD0E4B"/>
    <w:rsid w:val="00CD591A"/>
    <w:rsid w:val="00CE1941"/>
    <w:rsid w:val="00CE3E15"/>
    <w:rsid w:val="00CE43EF"/>
    <w:rsid w:val="00CE4460"/>
    <w:rsid w:val="00CE4C89"/>
    <w:rsid w:val="00CE6D3F"/>
    <w:rsid w:val="00CF07BA"/>
    <w:rsid w:val="00D0296C"/>
    <w:rsid w:val="00D12214"/>
    <w:rsid w:val="00D12B79"/>
    <w:rsid w:val="00D20115"/>
    <w:rsid w:val="00D201C4"/>
    <w:rsid w:val="00D32D6F"/>
    <w:rsid w:val="00D34174"/>
    <w:rsid w:val="00D37B04"/>
    <w:rsid w:val="00D540C6"/>
    <w:rsid w:val="00D64BD1"/>
    <w:rsid w:val="00D70A34"/>
    <w:rsid w:val="00D71064"/>
    <w:rsid w:val="00D71A2E"/>
    <w:rsid w:val="00D77F19"/>
    <w:rsid w:val="00D843B6"/>
    <w:rsid w:val="00D90BFD"/>
    <w:rsid w:val="00D92254"/>
    <w:rsid w:val="00D97473"/>
    <w:rsid w:val="00DA35E5"/>
    <w:rsid w:val="00DB58CD"/>
    <w:rsid w:val="00DB75AA"/>
    <w:rsid w:val="00DE084C"/>
    <w:rsid w:val="00E00ED1"/>
    <w:rsid w:val="00E10896"/>
    <w:rsid w:val="00E10ECA"/>
    <w:rsid w:val="00E14F51"/>
    <w:rsid w:val="00E17B20"/>
    <w:rsid w:val="00E216F2"/>
    <w:rsid w:val="00E244F2"/>
    <w:rsid w:val="00E351CE"/>
    <w:rsid w:val="00E357B7"/>
    <w:rsid w:val="00E53800"/>
    <w:rsid w:val="00E6081F"/>
    <w:rsid w:val="00E70BA4"/>
    <w:rsid w:val="00E8296D"/>
    <w:rsid w:val="00E8457B"/>
    <w:rsid w:val="00E93E1A"/>
    <w:rsid w:val="00E97DA4"/>
    <w:rsid w:val="00EA04B2"/>
    <w:rsid w:val="00EA20F3"/>
    <w:rsid w:val="00EB191A"/>
    <w:rsid w:val="00EC457C"/>
    <w:rsid w:val="00EC776B"/>
    <w:rsid w:val="00ED2831"/>
    <w:rsid w:val="00ED43D1"/>
    <w:rsid w:val="00ED521C"/>
    <w:rsid w:val="00EE4EE1"/>
    <w:rsid w:val="00EF4574"/>
    <w:rsid w:val="00F0285C"/>
    <w:rsid w:val="00F1090B"/>
    <w:rsid w:val="00F20076"/>
    <w:rsid w:val="00F2423B"/>
    <w:rsid w:val="00F25A93"/>
    <w:rsid w:val="00F2684E"/>
    <w:rsid w:val="00F50889"/>
    <w:rsid w:val="00F50B3F"/>
    <w:rsid w:val="00F50BD7"/>
    <w:rsid w:val="00F52DEC"/>
    <w:rsid w:val="00F5404C"/>
    <w:rsid w:val="00F63CAC"/>
    <w:rsid w:val="00F67C6A"/>
    <w:rsid w:val="00F729EF"/>
    <w:rsid w:val="00F77CAE"/>
    <w:rsid w:val="00F814A3"/>
    <w:rsid w:val="00F82271"/>
    <w:rsid w:val="00F83428"/>
    <w:rsid w:val="00F83734"/>
    <w:rsid w:val="00F917FA"/>
    <w:rsid w:val="00F96BB9"/>
    <w:rsid w:val="00F976BF"/>
    <w:rsid w:val="00FC64B4"/>
    <w:rsid w:val="00FC7D6C"/>
    <w:rsid w:val="00FD507A"/>
    <w:rsid w:val="00FE6D51"/>
    <w:rsid w:val="00FE6F2A"/>
    <w:rsid w:val="00FF7D43"/>
    <w:rsid w:val="018EFE32"/>
    <w:rsid w:val="02330F7F"/>
    <w:rsid w:val="047AB035"/>
    <w:rsid w:val="0526F3E7"/>
    <w:rsid w:val="05BC8CF6"/>
    <w:rsid w:val="06931A6A"/>
    <w:rsid w:val="07563248"/>
    <w:rsid w:val="07B64FB8"/>
    <w:rsid w:val="08050F77"/>
    <w:rsid w:val="09126E0B"/>
    <w:rsid w:val="091BF5C4"/>
    <w:rsid w:val="09A1FD9D"/>
    <w:rsid w:val="0C7746C0"/>
    <w:rsid w:val="0C7AF410"/>
    <w:rsid w:val="0E48D680"/>
    <w:rsid w:val="0EA00E62"/>
    <w:rsid w:val="140AFB5C"/>
    <w:rsid w:val="150F4FE6"/>
    <w:rsid w:val="1549D10F"/>
    <w:rsid w:val="16327F4E"/>
    <w:rsid w:val="16D9B5FB"/>
    <w:rsid w:val="1908F891"/>
    <w:rsid w:val="1AAE7DC2"/>
    <w:rsid w:val="1B7B1BC0"/>
    <w:rsid w:val="1BA128D6"/>
    <w:rsid w:val="1BD383AB"/>
    <w:rsid w:val="1C8F6FFA"/>
    <w:rsid w:val="1D336B35"/>
    <w:rsid w:val="1D954401"/>
    <w:rsid w:val="1E243B1D"/>
    <w:rsid w:val="1ECA4590"/>
    <w:rsid w:val="1ED140B9"/>
    <w:rsid w:val="1F4C41F0"/>
    <w:rsid w:val="1FB1B51F"/>
    <w:rsid w:val="1FF60F4B"/>
    <w:rsid w:val="2090E204"/>
    <w:rsid w:val="2233C5FC"/>
    <w:rsid w:val="23CEDE22"/>
    <w:rsid w:val="246B510B"/>
    <w:rsid w:val="25D33572"/>
    <w:rsid w:val="25FE2C33"/>
    <w:rsid w:val="26B6DD00"/>
    <w:rsid w:val="26C9DC3E"/>
    <w:rsid w:val="27B73213"/>
    <w:rsid w:val="27F4551C"/>
    <w:rsid w:val="286501F8"/>
    <w:rsid w:val="287696D9"/>
    <w:rsid w:val="2A9D7FB0"/>
    <w:rsid w:val="2B9CA2BA"/>
    <w:rsid w:val="2BBD0A6E"/>
    <w:rsid w:val="2C29BBD5"/>
    <w:rsid w:val="2CE54EA8"/>
    <w:rsid w:val="2EC9BAFD"/>
    <w:rsid w:val="2EF22EA3"/>
    <w:rsid w:val="2F0DD73B"/>
    <w:rsid w:val="30A9A79C"/>
    <w:rsid w:val="312F6E7E"/>
    <w:rsid w:val="335E0966"/>
    <w:rsid w:val="336A814E"/>
    <w:rsid w:val="336AD765"/>
    <w:rsid w:val="35B76F5A"/>
    <w:rsid w:val="3739AC45"/>
    <w:rsid w:val="37EB9630"/>
    <w:rsid w:val="381F0004"/>
    <w:rsid w:val="39876691"/>
    <w:rsid w:val="3A2C245B"/>
    <w:rsid w:val="3AAFF3C9"/>
    <w:rsid w:val="3AF8647F"/>
    <w:rsid w:val="3BDF9135"/>
    <w:rsid w:val="3DF3C526"/>
    <w:rsid w:val="3E04A5EE"/>
    <w:rsid w:val="3EF5F4D9"/>
    <w:rsid w:val="3F1731F7"/>
    <w:rsid w:val="3FC501DC"/>
    <w:rsid w:val="4007583F"/>
    <w:rsid w:val="4208DFAB"/>
    <w:rsid w:val="4222237E"/>
    <w:rsid w:val="42427C7D"/>
    <w:rsid w:val="42991E85"/>
    <w:rsid w:val="430A2CC1"/>
    <w:rsid w:val="439A48FB"/>
    <w:rsid w:val="4405B74E"/>
    <w:rsid w:val="44CE74EB"/>
    <w:rsid w:val="45B7CDBE"/>
    <w:rsid w:val="45F0ECDF"/>
    <w:rsid w:val="460BD93E"/>
    <w:rsid w:val="46344360"/>
    <w:rsid w:val="46DC50CE"/>
    <w:rsid w:val="473B275A"/>
    <w:rsid w:val="47A592DF"/>
    <w:rsid w:val="47D013C1"/>
    <w:rsid w:val="47E4CCCB"/>
    <w:rsid w:val="48054D57"/>
    <w:rsid w:val="499A1D48"/>
    <w:rsid w:val="4A4BF4B3"/>
    <w:rsid w:val="4A6E1DC6"/>
    <w:rsid w:val="4D4EF6E9"/>
    <w:rsid w:val="513BC31E"/>
    <w:rsid w:val="51920494"/>
    <w:rsid w:val="51976169"/>
    <w:rsid w:val="51B166C7"/>
    <w:rsid w:val="51D9B6C9"/>
    <w:rsid w:val="52B6E949"/>
    <w:rsid w:val="53036729"/>
    <w:rsid w:val="5312C668"/>
    <w:rsid w:val="536F8428"/>
    <w:rsid w:val="54AA2C9B"/>
    <w:rsid w:val="54EADD29"/>
    <w:rsid w:val="556D1EE6"/>
    <w:rsid w:val="55D392CE"/>
    <w:rsid w:val="567731DB"/>
    <w:rsid w:val="567F6E6A"/>
    <w:rsid w:val="572F195A"/>
    <w:rsid w:val="580D0DEF"/>
    <w:rsid w:val="58170BCE"/>
    <w:rsid w:val="59856E10"/>
    <w:rsid w:val="59FAC90E"/>
    <w:rsid w:val="5ABF0F24"/>
    <w:rsid w:val="5BCCAC8E"/>
    <w:rsid w:val="5C997CAE"/>
    <w:rsid w:val="5CDB7766"/>
    <w:rsid w:val="5D179529"/>
    <w:rsid w:val="5D2E9E79"/>
    <w:rsid w:val="5E24256F"/>
    <w:rsid w:val="5E818B85"/>
    <w:rsid w:val="615BC631"/>
    <w:rsid w:val="61AF10D0"/>
    <w:rsid w:val="61FC2F15"/>
    <w:rsid w:val="62F79692"/>
    <w:rsid w:val="639B54C4"/>
    <w:rsid w:val="640384C8"/>
    <w:rsid w:val="6405AFD7"/>
    <w:rsid w:val="64DB3F75"/>
    <w:rsid w:val="64F51C67"/>
    <w:rsid w:val="66A95C34"/>
    <w:rsid w:val="6813DE0D"/>
    <w:rsid w:val="684D6E83"/>
    <w:rsid w:val="694F6FEA"/>
    <w:rsid w:val="69AFAE6E"/>
    <w:rsid w:val="6A47AAAF"/>
    <w:rsid w:val="6C042F9C"/>
    <w:rsid w:val="6CFDE04C"/>
    <w:rsid w:val="6D8950F0"/>
    <w:rsid w:val="6DDBE40C"/>
    <w:rsid w:val="6E99A112"/>
    <w:rsid w:val="6F3BD05E"/>
    <w:rsid w:val="70634820"/>
    <w:rsid w:val="70D7A0BF"/>
    <w:rsid w:val="719202C4"/>
    <w:rsid w:val="71D1373C"/>
    <w:rsid w:val="73E1A016"/>
    <w:rsid w:val="73ED106C"/>
    <w:rsid w:val="7410F45D"/>
    <w:rsid w:val="74ABE7A2"/>
    <w:rsid w:val="74BA4447"/>
    <w:rsid w:val="76750919"/>
    <w:rsid w:val="7685DF49"/>
    <w:rsid w:val="76C44A73"/>
    <w:rsid w:val="77400E7D"/>
    <w:rsid w:val="77F1CAC1"/>
    <w:rsid w:val="7916B64C"/>
    <w:rsid w:val="794459A8"/>
    <w:rsid w:val="79C40458"/>
    <w:rsid w:val="7A6EAB65"/>
    <w:rsid w:val="7AFDCD0E"/>
    <w:rsid w:val="7AFDD3E1"/>
    <w:rsid w:val="7B25F643"/>
    <w:rsid w:val="7B2C8897"/>
    <w:rsid w:val="7C4D135F"/>
    <w:rsid w:val="7EAC3D70"/>
    <w:rsid w:val="7F0758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4:docId w14:val="5811C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3C6C4F"/>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74692E"/>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0A407E"/>
    <w:pPr>
      <w:spacing w:before="48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103CF5"/>
    <w:pPr>
      <w:spacing w:line="200" w:lineRule="atLeast"/>
      <w:outlineLvl w:val="4"/>
    </w:pPr>
    <w:rPr>
      <w:b/>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692E"/>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0A407E"/>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link w:val="Bullet1Char"/>
    <w:qFormat/>
    <w:rsid w:val="00103CF5"/>
    <w:p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8"/>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7"/>
      </w:numPr>
    </w:pPr>
  </w:style>
  <w:style w:type="paragraph" w:customStyle="1" w:styleId="Heading2Numbered">
    <w:name w:val="Heading 2 Numbered"/>
    <w:basedOn w:val="Heading2"/>
    <w:next w:val="Normal"/>
    <w:qFormat/>
    <w:rsid w:val="00ED2831"/>
    <w:pPr>
      <w:numPr>
        <w:ilvl w:val="1"/>
        <w:numId w:val="7"/>
      </w:numPr>
      <w:spacing w:after="60"/>
    </w:pPr>
    <w:rPr>
      <w:bCs/>
    </w:rPr>
  </w:style>
  <w:style w:type="paragraph" w:customStyle="1" w:styleId="Heading3Numbered">
    <w:name w:val="Heading 3 Numbered"/>
    <w:basedOn w:val="Heading3"/>
    <w:next w:val="Normal"/>
    <w:qFormat/>
    <w:rsid w:val="00ED2831"/>
    <w:pPr>
      <w:numPr>
        <w:ilvl w:val="2"/>
        <w:numId w:val="7"/>
      </w:numPr>
      <w:spacing w:before="300" w:after="60"/>
    </w:pPr>
    <w:rPr>
      <w:szCs w:val="22"/>
    </w:rPr>
  </w:style>
  <w:style w:type="numbering" w:customStyle="1" w:styleId="BulletsList">
    <w:name w:val="Bullets List"/>
    <w:uiPriority w:val="99"/>
    <w:rsid w:val="00103CF5"/>
    <w:pPr>
      <w:numPr>
        <w:numId w:val="2"/>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4"/>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E6F2A"/>
    <w:pPr>
      <w:tabs>
        <w:tab w:val="center" w:pos="4513"/>
        <w:tab w:val="right" w:pos="9026"/>
      </w:tabs>
      <w:spacing w:before="0" w:after="0"/>
      <w:ind w:left="227"/>
    </w:pPr>
    <w:rPr>
      <w:b/>
      <w:caps/>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5"/>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03CF5"/>
    <w:pPr>
      <w:spacing w:before="400" w:after="400" w:line="280" w:lineRule="exact"/>
    </w:pPr>
    <w:rPr>
      <w:b/>
      <w:color w:val="ACD08C" w:themeColor="accent2"/>
      <w:sz w:val="28"/>
    </w:rPr>
  </w:style>
  <w:style w:type="table" w:styleId="TableGrid">
    <w:name w:val="Table Grid"/>
    <w:basedOn w:val="TableNormal"/>
    <w:uiPriority w:val="3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E6F2A"/>
    <w:rPr>
      <w:b/>
      <w:caps/>
      <w:color w:val="495965" w:themeColor="text2"/>
      <w:sz w:val="20"/>
      <w:lang w:val="en-GB"/>
    </w:rPr>
  </w:style>
  <w:style w:type="numbering" w:customStyle="1" w:styleId="FigureTitles">
    <w:name w:val="Figure Titles"/>
    <w:uiPriority w:val="99"/>
    <w:rsid w:val="006346BC"/>
    <w:pPr>
      <w:numPr>
        <w:numId w:val="6"/>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103CF5"/>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244229"/>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Bullet3"/>
    <w:rsid w:val="00000963"/>
    <w:rPr>
      <w:color w:val="D8DCDB" w:themeColor="background2"/>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9"/>
      </w:numPr>
      <w:ind w:left="454" w:hanging="170"/>
    </w:pPr>
  </w:style>
  <w:style w:type="paragraph" w:customStyle="1" w:styleId="Box2Bullet">
    <w:name w:val="Box 2 Bullet"/>
    <w:basedOn w:val="Box2Text"/>
    <w:qFormat/>
    <w:rsid w:val="00C42541"/>
    <w:pPr>
      <w:numPr>
        <w:numId w:val="10"/>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semiHidden/>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semiHidden/>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Paragraph">
    <w:name w:val="List Paragraph"/>
    <w:aliases w:val="Bulleted Para,CV text,Dot pt,F5 List Paragraph,FooterText,L,List Paragraph1,List Paragraph11,List Paragraph111,List Paragraph2,NFP GP Bulleted List,Numbered Paragraph,Paragraphe de liste1,Recommendation,Table text,numbered,列出,列出段落,列出段落1"/>
    <w:basedOn w:val="Normal"/>
    <w:link w:val="ListParagraphChar"/>
    <w:uiPriority w:val="34"/>
    <w:qFormat/>
    <w:locked/>
    <w:rsid w:val="00FD507A"/>
    <w:pPr>
      <w:suppressAutoHyphens w:val="0"/>
      <w:spacing w:before="0" w:after="200" w:line="276" w:lineRule="auto"/>
      <w:ind w:left="720"/>
      <w:contextualSpacing/>
    </w:pPr>
    <w:rPr>
      <w:color w:val="auto"/>
      <w:lang w:val="en-AU"/>
    </w:rPr>
  </w:style>
  <w:style w:type="character" w:customStyle="1" w:styleId="ListParagraphChar">
    <w:name w:val="List Paragraph Char"/>
    <w:aliases w:val="Bulleted Para Char,CV text Char,Dot pt Char,F5 List Paragraph Char,FooterText Char,L Char,List Paragraph1 Char,List Paragraph11 Char,List Paragraph111 Char,List Paragraph2 Char,NFP GP Bulleted List Char,Numbered Paragraph Char"/>
    <w:link w:val="ListParagraph"/>
    <w:uiPriority w:val="34"/>
    <w:qFormat/>
    <w:locked/>
    <w:rsid w:val="00FD507A"/>
  </w:style>
  <w:style w:type="paragraph" w:styleId="NormalWeb">
    <w:name w:val="Normal (Web)"/>
    <w:basedOn w:val="Normal"/>
    <w:uiPriority w:val="99"/>
    <w:unhideWhenUsed/>
    <w:rsid w:val="00995889"/>
    <w:pPr>
      <w:suppressAutoHyphens w:val="0"/>
      <w:spacing w:before="100" w:beforeAutospacing="1" w:after="100" w:afterAutospacing="1" w:line="240" w:lineRule="auto"/>
    </w:pPr>
    <w:rPr>
      <w:rFonts w:ascii="Times New Roman" w:hAnsi="Times New Roman" w:cs="Times New Roman"/>
      <w:color w:val="auto"/>
      <w:sz w:val="24"/>
      <w:szCs w:val="24"/>
      <w:lang w:val="en-AU" w:eastAsia="en-AU"/>
    </w:rPr>
  </w:style>
  <w:style w:type="character" w:customStyle="1" w:styleId="Bullet1Char">
    <w:name w:val="Bullet 1 Char"/>
    <w:link w:val="Bullet1"/>
    <w:locked/>
    <w:rsid w:val="00CD591A"/>
    <w:rPr>
      <w:color w:val="495965" w:themeColor="text2"/>
      <w:lang w:val="en-GB"/>
    </w:rPr>
  </w:style>
  <w:style w:type="character" w:customStyle="1" w:styleId="paragraphChar">
    <w:name w:val="paragraph Char"/>
    <w:aliases w:val="a Char"/>
    <w:link w:val="paragraph"/>
    <w:locked/>
    <w:rsid w:val="003D2290"/>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3D2290"/>
    <w:pPr>
      <w:tabs>
        <w:tab w:val="right" w:pos="1531"/>
      </w:tabs>
      <w:suppressAutoHyphens w:val="0"/>
      <w:spacing w:before="40" w:after="0" w:line="240" w:lineRule="auto"/>
      <w:ind w:left="1644" w:hanging="1644"/>
    </w:pPr>
    <w:rPr>
      <w:rFonts w:ascii="Times New Roman" w:eastAsia="Times New Roman" w:hAnsi="Times New Roman" w:cs="Times New Roman"/>
      <w:color w:val="auto"/>
      <w:szCs w:val="20"/>
      <w:lang w:val="en-AU" w:eastAsia="en-AU"/>
    </w:rPr>
  </w:style>
  <w:style w:type="paragraph" w:styleId="EndnoteText">
    <w:name w:val="endnote text"/>
    <w:basedOn w:val="Normal"/>
    <w:link w:val="EndnoteTextChar"/>
    <w:uiPriority w:val="99"/>
    <w:semiHidden/>
    <w:unhideWhenUsed/>
    <w:rsid w:val="00BC3055"/>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BC3055"/>
    <w:rPr>
      <w:color w:val="495965" w:themeColor="text2"/>
      <w:sz w:val="20"/>
      <w:szCs w:val="20"/>
      <w:lang w:val="en-GB"/>
    </w:rPr>
  </w:style>
  <w:style w:type="character" w:styleId="EndnoteReference">
    <w:name w:val="endnote reference"/>
    <w:basedOn w:val="DefaultParagraphFont"/>
    <w:uiPriority w:val="99"/>
    <w:semiHidden/>
    <w:unhideWhenUsed/>
    <w:rsid w:val="00BC3055"/>
    <w:rPr>
      <w:vertAlign w:val="superscript"/>
    </w:rPr>
  </w:style>
  <w:style w:type="paragraph" w:styleId="Revision">
    <w:name w:val="Revision"/>
    <w:hidden/>
    <w:uiPriority w:val="99"/>
    <w:semiHidden/>
    <w:rsid w:val="00440CDC"/>
    <w:pPr>
      <w:spacing w:after="0" w:line="240" w:lineRule="auto"/>
    </w:pPr>
    <w:rPr>
      <w:color w:val="495965" w:themeColor="text2"/>
      <w:lang w:val="en-GB"/>
    </w:rPr>
  </w:style>
  <w:style w:type="character" w:customStyle="1" w:styleId="normaltextrun">
    <w:name w:val="normaltextrun"/>
    <w:basedOn w:val="DefaultParagraphFont"/>
    <w:rsid w:val="00FC7D6C"/>
  </w:style>
  <w:style w:type="character" w:customStyle="1" w:styleId="eop">
    <w:name w:val="eop"/>
    <w:basedOn w:val="DefaultParagraphFont"/>
    <w:rsid w:val="00FC7D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942011">
      <w:bodyDiv w:val="1"/>
      <w:marLeft w:val="0"/>
      <w:marRight w:val="0"/>
      <w:marTop w:val="0"/>
      <w:marBottom w:val="0"/>
      <w:divBdr>
        <w:top w:val="none" w:sz="0" w:space="0" w:color="auto"/>
        <w:left w:val="none" w:sz="0" w:space="0" w:color="auto"/>
        <w:bottom w:val="none" w:sz="0" w:space="0" w:color="auto"/>
        <w:right w:val="none" w:sz="0" w:space="0" w:color="auto"/>
      </w:divBdr>
    </w:div>
    <w:div w:id="109518559">
      <w:bodyDiv w:val="1"/>
      <w:marLeft w:val="0"/>
      <w:marRight w:val="0"/>
      <w:marTop w:val="0"/>
      <w:marBottom w:val="0"/>
      <w:divBdr>
        <w:top w:val="none" w:sz="0" w:space="0" w:color="auto"/>
        <w:left w:val="none" w:sz="0" w:space="0" w:color="auto"/>
        <w:bottom w:val="none" w:sz="0" w:space="0" w:color="auto"/>
        <w:right w:val="none" w:sz="0" w:space="0" w:color="auto"/>
      </w:divBdr>
      <w:divsChild>
        <w:div w:id="383874976">
          <w:marLeft w:val="0"/>
          <w:marRight w:val="0"/>
          <w:marTop w:val="0"/>
          <w:marBottom w:val="0"/>
          <w:divBdr>
            <w:top w:val="none" w:sz="0" w:space="0" w:color="auto"/>
            <w:left w:val="none" w:sz="0" w:space="0" w:color="auto"/>
            <w:bottom w:val="none" w:sz="0" w:space="0" w:color="auto"/>
            <w:right w:val="none" w:sz="0" w:space="0" w:color="auto"/>
          </w:divBdr>
        </w:div>
        <w:div w:id="634414978">
          <w:marLeft w:val="150"/>
          <w:marRight w:val="150"/>
          <w:marTop w:val="0"/>
          <w:marBottom w:val="0"/>
          <w:divBdr>
            <w:top w:val="single" w:sz="6" w:space="15" w:color="979797"/>
            <w:left w:val="none" w:sz="0" w:space="0" w:color="auto"/>
            <w:bottom w:val="none" w:sz="0" w:space="0" w:color="auto"/>
            <w:right w:val="none" w:sz="0" w:space="0" w:color="auto"/>
          </w:divBdr>
          <w:divsChild>
            <w:div w:id="159975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05177">
      <w:bodyDiv w:val="1"/>
      <w:marLeft w:val="0"/>
      <w:marRight w:val="0"/>
      <w:marTop w:val="0"/>
      <w:marBottom w:val="0"/>
      <w:divBdr>
        <w:top w:val="none" w:sz="0" w:space="0" w:color="auto"/>
        <w:left w:val="none" w:sz="0" w:space="0" w:color="auto"/>
        <w:bottom w:val="none" w:sz="0" w:space="0" w:color="auto"/>
        <w:right w:val="none" w:sz="0" w:space="0" w:color="auto"/>
      </w:divBdr>
    </w:div>
    <w:div w:id="186986396">
      <w:bodyDiv w:val="1"/>
      <w:marLeft w:val="0"/>
      <w:marRight w:val="0"/>
      <w:marTop w:val="0"/>
      <w:marBottom w:val="0"/>
      <w:divBdr>
        <w:top w:val="none" w:sz="0" w:space="0" w:color="auto"/>
        <w:left w:val="none" w:sz="0" w:space="0" w:color="auto"/>
        <w:bottom w:val="none" w:sz="0" w:space="0" w:color="auto"/>
        <w:right w:val="none" w:sz="0" w:space="0" w:color="auto"/>
      </w:divBdr>
    </w:div>
    <w:div w:id="196043014">
      <w:bodyDiv w:val="1"/>
      <w:marLeft w:val="0"/>
      <w:marRight w:val="0"/>
      <w:marTop w:val="0"/>
      <w:marBottom w:val="0"/>
      <w:divBdr>
        <w:top w:val="none" w:sz="0" w:space="0" w:color="auto"/>
        <w:left w:val="none" w:sz="0" w:space="0" w:color="auto"/>
        <w:bottom w:val="none" w:sz="0" w:space="0" w:color="auto"/>
        <w:right w:val="none" w:sz="0" w:space="0" w:color="auto"/>
      </w:divBdr>
    </w:div>
    <w:div w:id="200095970">
      <w:bodyDiv w:val="1"/>
      <w:marLeft w:val="0"/>
      <w:marRight w:val="0"/>
      <w:marTop w:val="0"/>
      <w:marBottom w:val="0"/>
      <w:divBdr>
        <w:top w:val="none" w:sz="0" w:space="0" w:color="auto"/>
        <w:left w:val="none" w:sz="0" w:space="0" w:color="auto"/>
        <w:bottom w:val="none" w:sz="0" w:space="0" w:color="auto"/>
        <w:right w:val="none" w:sz="0" w:space="0" w:color="auto"/>
      </w:divBdr>
    </w:div>
    <w:div w:id="229924876">
      <w:bodyDiv w:val="1"/>
      <w:marLeft w:val="0"/>
      <w:marRight w:val="0"/>
      <w:marTop w:val="0"/>
      <w:marBottom w:val="0"/>
      <w:divBdr>
        <w:top w:val="none" w:sz="0" w:space="0" w:color="auto"/>
        <w:left w:val="none" w:sz="0" w:space="0" w:color="auto"/>
        <w:bottom w:val="none" w:sz="0" w:space="0" w:color="auto"/>
        <w:right w:val="none" w:sz="0" w:space="0" w:color="auto"/>
      </w:divBdr>
    </w:div>
    <w:div w:id="241263451">
      <w:bodyDiv w:val="1"/>
      <w:marLeft w:val="0"/>
      <w:marRight w:val="0"/>
      <w:marTop w:val="0"/>
      <w:marBottom w:val="0"/>
      <w:divBdr>
        <w:top w:val="none" w:sz="0" w:space="0" w:color="auto"/>
        <w:left w:val="none" w:sz="0" w:space="0" w:color="auto"/>
        <w:bottom w:val="none" w:sz="0" w:space="0" w:color="auto"/>
        <w:right w:val="none" w:sz="0" w:space="0" w:color="auto"/>
      </w:divBdr>
    </w:div>
    <w:div w:id="244657937">
      <w:bodyDiv w:val="1"/>
      <w:marLeft w:val="0"/>
      <w:marRight w:val="0"/>
      <w:marTop w:val="0"/>
      <w:marBottom w:val="0"/>
      <w:divBdr>
        <w:top w:val="none" w:sz="0" w:space="0" w:color="auto"/>
        <w:left w:val="none" w:sz="0" w:space="0" w:color="auto"/>
        <w:bottom w:val="none" w:sz="0" w:space="0" w:color="auto"/>
        <w:right w:val="none" w:sz="0" w:space="0" w:color="auto"/>
      </w:divBdr>
    </w:div>
    <w:div w:id="253243737">
      <w:bodyDiv w:val="1"/>
      <w:marLeft w:val="0"/>
      <w:marRight w:val="0"/>
      <w:marTop w:val="0"/>
      <w:marBottom w:val="0"/>
      <w:divBdr>
        <w:top w:val="none" w:sz="0" w:space="0" w:color="auto"/>
        <w:left w:val="none" w:sz="0" w:space="0" w:color="auto"/>
        <w:bottom w:val="none" w:sz="0" w:space="0" w:color="auto"/>
        <w:right w:val="none" w:sz="0" w:space="0" w:color="auto"/>
      </w:divBdr>
    </w:div>
    <w:div w:id="325011467">
      <w:bodyDiv w:val="1"/>
      <w:marLeft w:val="0"/>
      <w:marRight w:val="0"/>
      <w:marTop w:val="0"/>
      <w:marBottom w:val="0"/>
      <w:divBdr>
        <w:top w:val="none" w:sz="0" w:space="0" w:color="auto"/>
        <w:left w:val="none" w:sz="0" w:space="0" w:color="auto"/>
        <w:bottom w:val="none" w:sz="0" w:space="0" w:color="auto"/>
        <w:right w:val="none" w:sz="0" w:space="0" w:color="auto"/>
      </w:divBdr>
    </w:div>
    <w:div w:id="325790489">
      <w:bodyDiv w:val="1"/>
      <w:marLeft w:val="0"/>
      <w:marRight w:val="0"/>
      <w:marTop w:val="0"/>
      <w:marBottom w:val="0"/>
      <w:divBdr>
        <w:top w:val="none" w:sz="0" w:space="0" w:color="auto"/>
        <w:left w:val="none" w:sz="0" w:space="0" w:color="auto"/>
        <w:bottom w:val="none" w:sz="0" w:space="0" w:color="auto"/>
        <w:right w:val="none" w:sz="0" w:space="0" w:color="auto"/>
      </w:divBdr>
    </w:div>
    <w:div w:id="327565967">
      <w:bodyDiv w:val="1"/>
      <w:marLeft w:val="0"/>
      <w:marRight w:val="0"/>
      <w:marTop w:val="0"/>
      <w:marBottom w:val="0"/>
      <w:divBdr>
        <w:top w:val="none" w:sz="0" w:space="0" w:color="auto"/>
        <w:left w:val="none" w:sz="0" w:space="0" w:color="auto"/>
        <w:bottom w:val="none" w:sz="0" w:space="0" w:color="auto"/>
        <w:right w:val="none" w:sz="0" w:space="0" w:color="auto"/>
      </w:divBdr>
    </w:div>
    <w:div w:id="352264474">
      <w:bodyDiv w:val="1"/>
      <w:marLeft w:val="0"/>
      <w:marRight w:val="0"/>
      <w:marTop w:val="0"/>
      <w:marBottom w:val="0"/>
      <w:divBdr>
        <w:top w:val="none" w:sz="0" w:space="0" w:color="auto"/>
        <w:left w:val="none" w:sz="0" w:space="0" w:color="auto"/>
        <w:bottom w:val="none" w:sz="0" w:space="0" w:color="auto"/>
        <w:right w:val="none" w:sz="0" w:space="0" w:color="auto"/>
      </w:divBdr>
    </w:div>
    <w:div w:id="392849115">
      <w:bodyDiv w:val="1"/>
      <w:marLeft w:val="0"/>
      <w:marRight w:val="0"/>
      <w:marTop w:val="0"/>
      <w:marBottom w:val="0"/>
      <w:divBdr>
        <w:top w:val="none" w:sz="0" w:space="0" w:color="auto"/>
        <w:left w:val="none" w:sz="0" w:space="0" w:color="auto"/>
        <w:bottom w:val="none" w:sz="0" w:space="0" w:color="auto"/>
        <w:right w:val="none" w:sz="0" w:space="0" w:color="auto"/>
      </w:divBdr>
    </w:div>
    <w:div w:id="453257129">
      <w:bodyDiv w:val="1"/>
      <w:marLeft w:val="0"/>
      <w:marRight w:val="0"/>
      <w:marTop w:val="0"/>
      <w:marBottom w:val="0"/>
      <w:divBdr>
        <w:top w:val="none" w:sz="0" w:space="0" w:color="auto"/>
        <w:left w:val="none" w:sz="0" w:space="0" w:color="auto"/>
        <w:bottom w:val="none" w:sz="0" w:space="0" w:color="auto"/>
        <w:right w:val="none" w:sz="0" w:space="0" w:color="auto"/>
      </w:divBdr>
    </w:div>
    <w:div w:id="603655380">
      <w:bodyDiv w:val="1"/>
      <w:marLeft w:val="0"/>
      <w:marRight w:val="0"/>
      <w:marTop w:val="0"/>
      <w:marBottom w:val="0"/>
      <w:divBdr>
        <w:top w:val="none" w:sz="0" w:space="0" w:color="auto"/>
        <w:left w:val="none" w:sz="0" w:space="0" w:color="auto"/>
        <w:bottom w:val="none" w:sz="0" w:space="0" w:color="auto"/>
        <w:right w:val="none" w:sz="0" w:space="0" w:color="auto"/>
      </w:divBdr>
    </w:div>
    <w:div w:id="751700834">
      <w:bodyDiv w:val="1"/>
      <w:marLeft w:val="0"/>
      <w:marRight w:val="0"/>
      <w:marTop w:val="0"/>
      <w:marBottom w:val="0"/>
      <w:divBdr>
        <w:top w:val="none" w:sz="0" w:space="0" w:color="auto"/>
        <w:left w:val="none" w:sz="0" w:space="0" w:color="auto"/>
        <w:bottom w:val="none" w:sz="0" w:space="0" w:color="auto"/>
        <w:right w:val="none" w:sz="0" w:space="0" w:color="auto"/>
      </w:divBdr>
    </w:div>
    <w:div w:id="759448490">
      <w:bodyDiv w:val="1"/>
      <w:marLeft w:val="0"/>
      <w:marRight w:val="0"/>
      <w:marTop w:val="0"/>
      <w:marBottom w:val="0"/>
      <w:divBdr>
        <w:top w:val="none" w:sz="0" w:space="0" w:color="auto"/>
        <w:left w:val="none" w:sz="0" w:space="0" w:color="auto"/>
        <w:bottom w:val="none" w:sz="0" w:space="0" w:color="auto"/>
        <w:right w:val="none" w:sz="0" w:space="0" w:color="auto"/>
      </w:divBdr>
    </w:div>
    <w:div w:id="868371100">
      <w:bodyDiv w:val="1"/>
      <w:marLeft w:val="0"/>
      <w:marRight w:val="0"/>
      <w:marTop w:val="0"/>
      <w:marBottom w:val="0"/>
      <w:divBdr>
        <w:top w:val="none" w:sz="0" w:space="0" w:color="auto"/>
        <w:left w:val="none" w:sz="0" w:space="0" w:color="auto"/>
        <w:bottom w:val="none" w:sz="0" w:space="0" w:color="auto"/>
        <w:right w:val="none" w:sz="0" w:space="0" w:color="auto"/>
      </w:divBdr>
    </w:div>
    <w:div w:id="945428539">
      <w:bodyDiv w:val="1"/>
      <w:marLeft w:val="0"/>
      <w:marRight w:val="0"/>
      <w:marTop w:val="0"/>
      <w:marBottom w:val="0"/>
      <w:divBdr>
        <w:top w:val="none" w:sz="0" w:space="0" w:color="auto"/>
        <w:left w:val="none" w:sz="0" w:space="0" w:color="auto"/>
        <w:bottom w:val="none" w:sz="0" w:space="0" w:color="auto"/>
        <w:right w:val="none" w:sz="0" w:space="0" w:color="auto"/>
      </w:divBdr>
    </w:div>
    <w:div w:id="956763375">
      <w:bodyDiv w:val="1"/>
      <w:marLeft w:val="0"/>
      <w:marRight w:val="0"/>
      <w:marTop w:val="0"/>
      <w:marBottom w:val="0"/>
      <w:divBdr>
        <w:top w:val="none" w:sz="0" w:space="0" w:color="auto"/>
        <w:left w:val="none" w:sz="0" w:space="0" w:color="auto"/>
        <w:bottom w:val="none" w:sz="0" w:space="0" w:color="auto"/>
        <w:right w:val="none" w:sz="0" w:space="0" w:color="auto"/>
      </w:divBdr>
    </w:div>
    <w:div w:id="1015422988">
      <w:bodyDiv w:val="1"/>
      <w:marLeft w:val="0"/>
      <w:marRight w:val="0"/>
      <w:marTop w:val="0"/>
      <w:marBottom w:val="0"/>
      <w:divBdr>
        <w:top w:val="none" w:sz="0" w:space="0" w:color="auto"/>
        <w:left w:val="none" w:sz="0" w:space="0" w:color="auto"/>
        <w:bottom w:val="none" w:sz="0" w:space="0" w:color="auto"/>
        <w:right w:val="none" w:sz="0" w:space="0" w:color="auto"/>
      </w:divBdr>
    </w:div>
    <w:div w:id="1262101101">
      <w:bodyDiv w:val="1"/>
      <w:marLeft w:val="0"/>
      <w:marRight w:val="0"/>
      <w:marTop w:val="0"/>
      <w:marBottom w:val="0"/>
      <w:divBdr>
        <w:top w:val="none" w:sz="0" w:space="0" w:color="auto"/>
        <w:left w:val="none" w:sz="0" w:space="0" w:color="auto"/>
        <w:bottom w:val="none" w:sz="0" w:space="0" w:color="auto"/>
        <w:right w:val="none" w:sz="0" w:space="0" w:color="auto"/>
      </w:divBdr>
    </w:div>
    <w:div w:id="1272974286">
      <w:bodyDiv w:val="1"/>
      <w:marLeft w:val="0"/>
      <w:marRight w:val="0"/>
      <w:marTop w:val="0"/>
      <w:marBottom w:val="0"/>
      <w:divBdr>
        <w:top w:val="none" w:sz="0" w:space="0" w:color="auto"/>
        <w:left w:val="none" w:sz="0" w:space="0" w:color="auto"/>
        <w:bottom w:val="none" w:sz="0" w:space="0" w:color="auto"/>
        <w:right w:val="none" w:sz="0" w:space="0" w:color="auto"/>
      </w:divBdr>
    </w:div>
    <w:div w:id="1303149433">
      <w:bodyDiv w:val="1"/>
      <w:marLeft w:val="0"/>
      <w:marRight w:val="0"/>
      <w:marTop w:val="0"/>
      <w:marBottom w:val="0"/>
      <w:divBdr>
        <w:top w:val="none" w:sz="0" w:space="0" w:color="auto"/>
        <w:left w:val="none" w:sz="0" w:space="0" w:color="auto"/>
        <w:bottom w:val="none" w:sz="0" w:space="0" w:color="auto"/>
        <w:right w:val="none" w:sz="0" w:space="0" w:color="auto"/>
      </w:divBdr>
    </w:div>
    <w:div w:id="1331561251">
      <w:bodyDiv w:val="1"/>
      <w:marLeft w:val="0"/>
      <w:marRight w:val="0"/>
      <w:marTop w:val="0"/>
      <w:marBottom w:val="0"/>
      <w:divBdr>
        <w:top w:val="none" w:sz="0" w:space="0" w:color="auto"/>
        <w:left w:val="none" w:sz="0" w:space="0" w:color="auto"/>
        <w:bottom w:val="none" w:sz="0" w:space="0" w:color="auto"/>
        <w:right w:val="none" w:sz="0" w:space="0" w:color="auto"/>
      </w:divBdr>
    </w:div>
    <w:div w:id="1334722465">
      <w:bodyDiv w:val="1"/>
      <w:marLeft w:val="0"/>
      <w:marRight w:val="0"/>
      <w:marTop w:val="0"/>
      <w:marBottom w:val="0"/>
      <w:divBdr>
        <w:top w:val="none" w:sz="0" w:space="0" w:color="auto"/>
        <w:left w:val="none" w:sz="0" w:space="0" w:color="auto"/>
        <w:bottom w:val="none" w:sz="0" w:space="0" w:color="auto"/>
        <w:right w:val="none" w:sz="0" w:space="0" w:color="auto"/>
      </w:divBdr>
    </w:div>
    <w:div w:id="1366565738">
      <w:bodyDiv w:val="1"/>
      <w:marLeft w:val="0"/>
      <w:marRight w:val="0"/>
      <w:marTop w:val="0"/>
      <w:marBottom w:val="0"/>
      <w:divBdr>
        <w:top w:val="none" w:sz="0" w:space="0" w:color="auto"/>
        <w:left w:val="none" w:sz="0" w:space="0" w:color="auto"/>
        <w:bottom w:val="none" w:sz="0" w:space="0" w:color="auto"/>
        <w:right w:val="none" w:sz="0" w:space="0" w:color="auto"/>
      </w:divBdr>
    </w:div>
    <w:div w:id="1387296436">
      <w:bodyDiv w:val="1"/>
      <w:marLeft w:val="0"/>
      <w:marRight w:val="0"/>
      <w:marTop w:val="0"/>
      <w:marBottom w:val="0"/>
      <w:divBdr>
        <w:top w:val="none" w:sz="0" w:space="0" w:color="auto"/>
        <w:left w:val="none" w:sz="0" w:space="0" w:color="auto"/>
        <w:bottom w:val="none" w:sz="0" w:space="0" w:color="auto"/>
        <w:right w:val="none" w:sz="0" w:space="0" w:color="auto"/>
      </w:divBdr>
    </w:div>
    <w:div w:id="1401513714">
      <w:bodyDiv w:val="1"/>
      <w:marLeft w:val="0"/>
      <w:marRight w:val="0"/>
      <w:marTop w:val="0"/>
      <w:marBottom w:val="0"/>
      <w:divBdr>
        <w:top w:val="none" w:sz="0" w:space="0" w:color="auto"/>
        <w:left w:val="none" w:sz="0" w:space="0" w:color="auto"/>
        <w:bottom w:val="none" w:sz="0" w:space="0" w:color="auto"/>
        <w:right w:val="none" w:sz="0" w:space="0" w:color="auto"/>
      </w:divBdr>
    </w:div>
    <w:div w:id="1525484926">
      <w:bodyDiv w:val="1"/>
      <w:marLeft w:val="0"/>
      <w:marRight w:val="0"/>
      <w:marTop w:val="0"/>
      <w:marBottom w:val="0"/>
      <w:divBdr>
        <w:top w:val="none" w:sz="0" w:space="0" w:color="auto"/>
        <w:left w:val="none" w:sz="0" w:space="0" w:color="auto"/>
        <w:bottom w:val="none" w:sz="0" w:space="0" w:color="auto"/>
        <w:right w:val="none" w:sz="0" w:space="0" w:color="auto"/>
      </w:divBdr>
    </w:div>
    <w:div w:id="1530291133">
      <w:bodyDiv w:val="1"/>
      <w:marLeft w:val="0"/>
      <w:marRight w:val="0"/>
      <w:marTop w:val="0"/>
      <w:marBottom w:val="0"/>
      <w:divBdr>
        <w:top w:val="none" w:sz="0" w:space="0" w:color="auto"/>
        <w:left w:val="none" w:sz="0" w:space="0" w:color="auto"/>
        <w:bottom w:val="none" w:sz="0" w:space="0" w:color="auto"/>
        <w:right w:val="none" w:sz="0" w:space="0" w:color="auto"/>
      </w:divBdr>
    </w:div>
    <w:div w:id="1628320443">
      <w:bodyDiv w:val="1"/>
      <w:marLeft w:val="0"/>
      <w:marRight w:val="0"/>
      <w:marTop w:val="0"/>
      <w:marBottom w:val="0"/>
      <w:divBdr>
        <w:top w:val="none" w:sz="0" w:space="0" w:color="auto"/>
        <w:left w:val="none" w:sz="0" w:space="0" w:color="auto"/>
        <w:bottom w:val="none" w:sz="0" w:space="0" w:color="auto"/>
        <w:right w:val="none" w:sz="0" w:space="0" w:color="auto"/>
      </w:divBdr>
    </w:div>
    <w:div w:id="1664777949">
      <w:bodyDiv w:val="1"/>
      <w:marLeft w:val="0"/>
      <w:marRight w:val="0"/>
      <w:marTop w:val="0"/>
      <w:marBottom w:val="0"/>
      <w:divBdr>
        <w:top w:val="none" w:sz="0" w:space="0" w:color="auto"/>
        <w:left w:val="none" w:sz="0" w:space="0" w:color="auto"/>
        <w:bottom w:val="none" w:sz="0" w:space="0" w:color="auto"/>
        <w:right w:val="none" w:sz="0" w:space="0" w:color="auto"/>
      </w:divBdr>
    </w:div>
    <w:div w:id="1666470975">
      <w:bodyDiv w:val="1"/>
      <w:marLeft w:val="0"/>
      <w:marRight w:val="0"/>
      <w:marTop w:val="0"/>
      <w:marBottom w:val="0"/>
      <w:divBdr>
        <w:top w:val="none" w:sz="0" w:space="0" w:color="auto"/>
        <w:left w:val="none" w:sz="0" w:space="0" w:color="auto"/>
        <w:bottom w:val="none" w:sz="0" w:space="0" w:color="auto"/>
        <w:right w:val="none" w:sz="0" w:space="0" w:color="auto"/>
      </w:divBdr>
    </w:div>
    <w:div w:id="1797136259">
      <w:bodyDiv w:val="1"/>
      <w:marLeft w:val="0"/>
      <w:marRight w:val="0"/>
      <w:marTop w:val="0"/>
      <w:marBottom w:val="0"/>
      <w:divBdr>
        <w:top w:val="none" w:sz="0" w:space="0" w:color="auto"/>
        <w:left w:val="none" w:sz="0" w:space="0" w:color="auto"/>
        <w:bottom w:val="none" w:sz="0" w:space="0" w:color="auto"/>
        <w:right w:val="none" w:sz="0" w:space="0" w:color="auto"/>
      </w:divBdr>
    </w:div>
    <w:div w:id="1822380255">
      <w:bodyDiv w:val="1"/>
      <w:marLeft w:val="0"/>
      <w:marRight w:val="0"/>
      <w:marTop w:val="0"/>
      <w:marBottom w:val="0"/>
      <w:divBdr>
        <w:top w:val="none" w:sz="0" w:space="0" w:color="auto"/>
        <w:left w:val="none" w:sz="0" w:space="0" w:color="auto"/>
        <w:bottom w:val="none" w:sz="0" w:space="0" w:color="auto"/>
        <w:right w:val="none" w:sz="0" w:space="0" w:color="auto"/>
      </w:divBdr>
    </w:div>
    <w:div w:id="1854418432">
      <w:bodyDiv w:val="1"/>
      <w:marLeft w:val="0"/>
      <w:marRight w:val="0"/>
      <w:marTop w:val="0"/>
      <w:marBottom w:val="0"/>
      <w:divBdr>
        <w:top w:val="none" w:sz="0" w:space="0" w:color="auto"/>
        <w:left w:val="none" w:sz="0" w:space="0" w:color="auto"/>
        <w:bottom w:val="none" w:sz="0" w:space="0" w:color="auto"/>
        <w:right w:val="none" w:sz="0" w:space="0" w:color="auto"/>
      </w:divBdr>
    </w:div>
    <w:div w:id="1856654372">
      <w:bodyDiv w:val="1"/>
      <w:marLeft w:val="0"/>
      <w:marRight w:val="0"/>
      <w:marTop w:val="0"/>
      <w:marBottom w:val="0"/>
      <w:divBdr>
        <w:top w:val="none" w:sz="0" w:space="0" w:color="auto"/>
        <w:left w:val="none" w:sz="0" w:space="0" w:color="auto"/>
        <w:bottom w:val="none" w:sz="0" w:space="0" w:color="auto"/>
        <w:right w:val="none" w:sz="0" w:space="0" w:color="auto"/>
      </w:divBdr>
    </w:div>
    <w:div w:id="1867912316">
      <w:bodyDiv w:val="1"/>
      <w:marLeft w:val="0"/>
      <w:marRight w:val="0"/>
      <w:marTop w:val="0"/>
      <w:marBottom w:val="0"/>
      <w:divBdr>
        <w:top w:val="none" w:sz="0" w:space="0" w:color="auto"/>
        <w:left w:val="none" w:sz="0" w:space="0" w:color="auto"/>
        <w:bottom w:val="none" w:sz="0" w:space="0" w:color="auto"/>
        <w:right w:val="none" w:sz="0" w:space="0" w:color="auto"/>
      </w:divBdr>
    </w:div>
    <w:div w:id="1894190868">
      <w:bodyDiv w:val="1"/>
      <w:marLeft w:val="0"/>
      <w:marRight w:val="0"/>
      <w:marTop w:val="0"/>
      <w:marBottom w:val="0"/>
      <w:divBdr>
        <w:top w:val="none" w:sz="0" w:space="0" w:color="auto"/>
        <w:left w:val="none" w:sz="0" w:space="0" w:color="auto"/>
        <w:bottom w:val="none" w:sz="0" w:space="0" w:color="auto"/>
        <w:right w:val="none" w:sz="0" w:space="0" w:color="auto"/>
      </w:divBdr>
    </w:div>
    <w:div w:id="1962881300">
      <w:bodyDiv w:val="1"/>
      <w:marLeft w:val="0"/>
      <w:marRight w:val="0"/>
      <w:marTop w:val="0"/>
      <w:marBottom w:val="0"/>
      <w:divBdr>
        <w:top w:val="none" w:sz="0" w:space="0" w:color="auto"/>
        <w:left w:val="none" w:sz="0" w:space="0" w:color="auto"/>
        <w:bottom w:val="none" w:sz="0" w:space="0" w:color="auto"/>
        <w:right w:val="none" w:sz="0" w:space="0" w:color="auto"/>
      </w:divBdr>
    </w:div>
    <w:div w:id="2066947164">
      <w:bodyDiv w:val="1"/>
      <w:marLeft w:val="0"/>
      <w:marRight w:val="0"/>
      <w:marTop w:val="0"/>
      <w:marBottom w:val="0"/>
      <w:divBdr>
        <w:top w:val="none" w:sz="0" w:space="0" w:color="auto"/>
        <w:left w:val="none" w:sz="0" w:space="0" w:color="auto"/>
        <w:bottom w:val="none" w:sz="0" w:space="0" w:color="auto"/>
        <w:right w:val="none" w:sz="0" w:space="0" w:color="auto"/>
      </w:divBdr>
    </w:div>
    <w:div w:id="2105686687">
      <w:bodyDiv w:val="1"/>
      <w:marLeft w:val="0"/>
      <w:marRight w:val="0"/>
      <w:marTop w:val="0"/>
      <w:marBottom w:val="0"/>
      <w:divBdr>
        <w:top w:val="none" w:sz="0" w:space="0" w:color="auto"/>
        <w:left w:val="none" w:sz="0" w:space="0" w:color="auto"/>
        <w:bottom w:val="none" w:sz="0" w:space="0" w:color="auto"/>
        <w:right w:val="none" w:sz="0" w:space="0" w:color="auto"/>
      </w:divBdr>
    </w:div>
    <w:div w:id="2119375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C4EB2-7A87-42DF-8DCB-18F31AF25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2244</Words>
  <Characters>12799</Characters>
  <Application>Microsoft Office Word</Application>
  <DocSecurity>0</DocSecurity>
  <Lines>183</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2021-06-09T06:51:00Z</dcterms:created>
  <dcterms:modified xsi:type="dcterms:W3CDTF">2021-06-09T06:51:00Z</dcterms:modified>
  <cp:category/>
</cp:coreProperties>
</file>