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39789" w14:textId="5CC9E035" w:rsidR="00A55608" w:rsidRDefault="00A55608" w:rsidP="00A55608">
      <w:pPr>
        <w:pStyle w:val="Title"/>
        <w:spacing w:before="120" w:line="240" w:lineRule="auto"/>
        <w:ind w:left="-709" w:right="-709"/>
        <w:contextualSpacing w:val="0"/>
        <w:jc w:val="center"/>
        <w:rPr>
          <w:sz w:val="32"/>
          <w:szCs w:val="32"/>
        </w:rPr>
      </w:pPr>
      <w:r w:rsidRPr="00A238F1">
        <w:rPr>
          <w:sz w:val="32"/>
          <w:szCs w:val="32"/>
        </w:rPr>
        <w:t xml:space="preserve">Australia’s Foreign Relations </w:t>
      </w:r>
    </w:p>
    <w:p w14:paraId="04993B0A" w14:textId="77777777" w:rsidR="00A55608" w:rsidRPr="00A238F1" w:rsidRDefault="00A55608" w:rsidP="00A55608">
      <w:pPr>
        <w:pStyle w:val="Title"/>
        <w:spacing w:line="240" w:lineRule="auto"/>
        <w:ind w:left="-709" w:right="-709"/>
        <w:contextualSpacing w:val="0"/>
        <w:jc w:val="center"/>
        <w:rPr>
          <w:sz w:val="32"/>
          <w:szCs w:val="32"/>
        </w:rPr>
      </w:pPr>
      <w:r w:rsidRPr="00A238F1">
        <w:rPr>
          <w:sz w:val="32"/>
          <w:szCs w:val="32"/>
        </w:rPr>
        <w:t xml:space="preserve">(State and Territory Arrangements) </w:t>
      </w:r>
      <w:r>
        <w:rPr>
          <w:sz w:val="32"/>
          <w:szCs w:val="32"/>
        </w:rPr>
        <w:t>ACT 2020</w:t>
      </w:r>
    </w:p>
    <w:p w14:paraId="057AA110" w14:textId="77777777" w:rsidR="00A55608" w:rsidRPr="00A238F1" w:rsidRDefault="00A55608" w:rsidP="00A55608">
      <w:pPr>
        <w:pStyle w:val="Subtitle"/>
        <w:spacing w:before="0" w:after="0" w:line="240" w:lineRule="auto"/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FACT SHEET 2 – States and territories</w:t>
      </w:r>
      <w:r>
        <w:rPr>
          <w:rStyle w:val="EndnoteReference"/>
          <w:sz w:val="32"/>
          <w:szCs w:val="32"/>
        </w:rPr>
        <w:endnoteReference w:id="1"/>
      </w:r>
    </w:p>
    <w:p w14:paraId="4C819FA7" w14:textId="62719932" w:rsidR="00A55608" w:rsidRPr="009A3A8B" w:rsidRDefault="00A55608" w:rsidP="009A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auto"/>
        </w:rPr>
      </w:pPr>
      <w:r w:rsidRPr="009A3A8B">
        <w:rPr>
          <w:b/>
          <w:bCs/>
          <w:color w:val="auto"/>
        </w:rPr>
        <w:t xml:space="preserve">Australia’s Foreign Relations (State and Territory Arrangements) Act 2020 (the Act) fosters a systematic and consistent approach to foreign engagement across all levels of Australian government. It creates a scheme to ensure that arrangements between State or Territory governments and foreign government entities do not adversely affect Australia’s foreign relations and are not inconsistent with Australia’s foreign policy.  </w:t>
      </w:r>
    </w:p>
    <w:p w14:paraId="4708CCA3" w14:textId="77777777" w:rsidR="009A3A8B" w:rsidRDefault="009A3A8B" w:rsidP="00A06733">
      <w:pPr>
        <w:pStyle w:val="IntroPara"/>
        <w:spacing w:before="0" w:after="0"/>
        <w:jc w:val="center"/>
        <w:rPr>
          <w:color w:val="auto"/>
        </w:rPr>
      </w:pPr>
    </w:p>
    <w:p w14:paraId="23D6B664" w14:textId="379F6FF1" w:rsidR="00A55608" w:rsidRDefault="00A55608" w:rsidP="00A06733">
      <w:pPr>
        <w:pStyle w:val="IntroPara"/>
        <w:spacing w:before="0" w:after="0"/>
        <w:jc w:val="center"/>
        <w:rPr>
          <w:color w:val="auto"/>
        </w:rPr>
      </w:pPr>
      <w:r w:rsidRPr="009A3A8B">
        <w:rPr>
          <w:color w:val="auto"/>
        </w:rPr>
        <w:t>This Fact Sheet should be read together with ‘Fact Sheet 1–Overview’</w:t>
      </w:r>
    </w:p>
    <w:p w14:paraId="7A964B83" w14:textId="77777777" w:rsidR="009A3A8B" w:rsidRPr="009A3A8B" w:rsidRDefault="009A3A8B" w:rsidP="009A3A8B">
      <w:pPr>
        <w:pStyle w:val="IntroPara"/>
        <w:spacing w:before="0" w:after="0" w:line="240" w:lineRule="auto"/>
        <w:jc w:val="center"/>
        <w:rPr>
          <w:color w:val="auto"/>
          <w:sz w:val="16"/>
          <w:szCs w:val="12"/>
        </w:rPr>
      </w:pPr>
    </w:p>
    <w:p w14:paraId="7F1FE34E" w14:textId="77777777" w:rsidR="00A55608" w:rsidRDefault="00A55608" w:rsidP="00A55608">
      <w:pPr>
        <w:pStyle w:val="BoxHeading"/>
        <w:spacing w:before="0" w:after="0"/>
        <w:rPr>
          <w:sz w:val="28"/>
          <w:szCs w:val="28"/>
        </w:rPr>
      </w:pPr>
      <w:r>
        <w:rPr>
          <w:sz w:val="28"/>
          <w:szCs w:val="28"/>
        </w:rPr>
        <w:t>How does the scheme apply to States and Territories?</w:t>
      </w:r>
    </w:p>
    <w:p w14:paraId="05602465" w14:textId="77777777" w:rsidR="00A55608" w:rsidRDefault="00A55608" w:rsidP="00A55608">
      <w:r>
        <w:t xml:space="preserve">The Foreign Arrangements Scheme (the scheme) creates obligations for </w:t>
      </w:r>
      <w:r w:rsidRPr="004E688F">
        <w:t>States and Territories</w:t>
      </w:r>
      <w:r>
        <w:t xml:space="preserve"> that propose to enter, or enter, an arrangement with a foreign entity.</w:t>
      </w:r>
      <w:r w:rsidRPr="004E688F">
        <w:t xml:space="preserve"> </w:t>
      </w:r>
    </w:p>
    <w:p w14:paraId="5460F04F" w14:textId="77777777" w:rsidR="00A55608" w:rsidRPr="000C3208" w:rsidRDefault="00A55608" w:rsidP="00A55608">
      <w:r w:rsidRPr="004E688F">
        <w:t xml:space="preserve">States and Territories, </w:t>
      </w:r>
      <w:r>
        <w:t>and their</w:t>
      </w:r>
      <w:r w:rsidRPr="004E688F">
        <w:t xml:space="preserve"> governments, departments and agencies</w:t>
      </w:r>
      <w:r>
        <w:t xml:space="preserve">, are </w:t>
      </w:r>
      <w:r>
        <w:rPr>
          <w:b/>
        </w:rPr>
        <w:t xml:space="preserve">core State/Territory entities. </w:t>
      </w:r>
      <w:r w:rsidRPr="000C3208">
        <w:t xml:space="preserve">Foreign arrangements </w:t>
      </w:r>
      <w:proofErr w:type="gramStart"/>
      <w:r w:rsidRPr="000C3208">
        <w:t>entered into</w:t>
      </w:r>
      <w:proofErr w:type="gramEnd"/>
      <w:r w:rsidRPr="000C3208">
        <w:t xml:space="preserve"> by States and Territories may be</w:t>
      </w:r>
      <w:r>
        <w:t xml:space="preserve"> core foreign arrangements or non-core foreign arrangements depending on the nature of the foreign entity.</w:t>
      </w:r>
      <w:r w:rsidRPr="000C3208">
        <w:t xml:space="preserve"> </w:t>
      </w:r>
    </w:p>
    <w:p w14:paraId="25EFFAB1" w14:textId="77777777" w:rsidR="00A55608" w:rsidRDefault="00A55608" w:rsidP="00A55608">
      <w:pPr>
        <w:pStyle w:val="Bullet1"/>
        <w:numPr>
          <w:ilvl w:val="0"/>
          <w:numId w:val="10"/>
        </w:numPr>
      </w:pPr>
      <w:r w:rsidRPr="009D5259">
        <w:t xml:space="preserve">A </w:t>
      </w:r>
      <w:r w:rsidRPr="00194D0A">
        <w:rPr>
          <w:b/>
        </w:rPr>
        <w:t>core foreign arrangement</w:t>
      </w:r>
      <w:r>
        <w:t xml:space="preserve"> is an arrangement between a State or Territory, their government, departments or agencies </w:t>
      </w:r>
      <w:r w:rsidRPr="000D5471">
        <w:rPr>
          <w:bCs/>
          <w:iCs/>
        </w:rPr>
        <w:t>and</w:t>
      </w:r>
      <w:r>
        <w:t xml:space="preserve"> a core </w:t>
      </w:r>
      <w:r w:rsidRPr="001D0CFD">
        <w:t xml:space="preserve">foreign </w:t>
      </w:r>
      <w:r>
        <w:t xml:space="preserve">entity. </w:t>
      </w:r>
    </w:p>
    <w:p w14:paraId="027112AD" w14:textId="77777777" w:rsidR="00A55608" w:rsidRDefault="00A55608" w:rsidP="00A55608">
      <w:pPr>
        <w:pStyle w:val="Bullet1"/>
        <w:numPr>
          <w:ilvl w:val="0"/>
          <w:numId w:val="10"/>
        </w:numPr>
      </w:pPr>
      <w:r w:rsidRPr="00D77F19">
        <w:t xml:space="preserve">A </w:t>
      </w:r>
      <w:r w:rsidRPr="00194D0A">
        <w:rPr>
          <w:b/>
        </w:rPr>
        <w:t>non-core foreign arrangement</w:t>
      </w:r>
      <w:r w:rsidRPr="00D77F19">
        <w:t xml:space="preserve"> is an arrangement </w:t>
      </w:r>
      <w:r>
        <w:t xml:space="preserve">between a State or Territory, their government, departments or agencies and a non-core foreign entity. </w:t>
      </w:r>
    </w:p>
    <w:p w14:paraId="46E61711" w14:textId="77777777" w:rsidR="00A55608" w:rsidRDefault="00A55608" w:rsidP="00A55608">
      <w:pPr>
        <w:pStyle w:val="Bullet1"/>
        <w:numPr>
          <w:ilvl w:val="0"/>
          <w:numId w:val="10"/>
        </w:numPr>
      </w:pPr>
      <w:r w:rsidRPr="00102A6A">
        <w:rPr>
          <w:b/>
        </w:rPr>
        <w:t xml:space="preserve">Core </w:t>
      </w:r>
      <w:r>
        <w:rPr>
          <w:b/>
        </w:rPr>
        <w:t>f</w:t>
      </w:r>
      <w:r w:rsidRPr="00102A6A">
        <w:rPr>
          <w:b/>
        </w:rPr>
        <w:t>oreign entities</w:t>
      </w:r>
      <w:r w:rsidRPr="00102A6A">
        <w:t xml:space="preserve"> include a foreign country, its national government and a department or agency of that national government.</w:t>
      </w:r>
    </w:p>
    <w:p w14:paraId="040FC511" w14:textId="77777777" w:rsidR="00A55608" w:rsidRPr="00102A6A" w:rsidRDefault="00A55608" w:rsidP="00A55608">
      <w:pPr>
        <w:pStyle w:val="Bullet1"/>
        <w:numPr>
          <w:ilvl w:val="0"/>
          <w:numId w:val="10"/>
        </w:numPr>
      </w:pPr>
      <w:r w:rsidRPr="00102A6A">
        <w:rPr>
          <w:b/>
        </w:rPr>
        <w:t xml:space="preserve">Non-core foreign entities </w:t>
      </w:r>
      <w:r w:rsidRPr="00102A6A">
        <w:t>include sub-national level governments in foreign countries, departments of those sub-national level governments, public entities established under the authority of a foreign country or its national or sub-national government, universities without institutional autonomy and any other entities prescribed by the rules.</w:t>
      </w:r>
    </w:p>
    <w:p w14:paraId="6C07D824" w14:textId="77777777" w:rsidR="00A55608" w:rsidRPr="009330B3" w:rsidRDefault="00A55608" w:rsidP="00A55608">
      <w:pPr>
        <w:pStyle w:val="BoxHeading"/>
        <w:spacing w:before="120" w:after="0"/>
        <w:rPr>
          <w:sz w:val="28"/>
          <w:szCs w:val="28"/>
        </w:rPr>
      </w:pPr>
      <w:r w:rsidRPr="009330B3">
        <w:rPr>
          <w:sz w:val="28"/>
          <w:szCs w:val="28"/>
        </w:rPr>
        <w:t>What does the scheme do?</w:t>
      </w:r>
    </w:p>
    <w:p w14:paraId="03FBDB69" w14:textId="6A516D13" w:rsidR="00A55608" w:rsidRDefault="00A55608" w:rsidP="00A55608">
      <w:r>
        <w:t xml:space="preserve">The scheme </w:t>
      </w:r>
      <w:r w:rsidRPr="00194D0A">
        <w:t xml:space="preserve">creates </w:t>
      </w:r>
      <w:r>
        <w:t>an ‘approval’ process for arrangements known as ‘</w:t>
      </w:r>
      <w:r w:rsidRPr="00194D0A">
        <w:t>core foreign arrangements</w:t>
      </w:r>
      <w:r>
        <w:t>’</w:t>
      </w:r>
      <w:r w:rsidRPr="00194D0A">
        <w:t xml:space="preserve"> and</w:t>
      </w:r>
      <w:r>
        <w:t xml:space="preserve"> a ‘notification’ process for arrangements known as ‘non-core foreign </w:t>
      </w:r>
      <w:proofErr w:type="gramStart"/>
      <w:r>
        <w:t>arrangements’</w:t>
      </w:r>
      <w:proofErr w:type="gramEnd"/>
      <w:r>
        <w:t>.</w:t>
      </w:r>
      <w:r w:rsidRPr="00194D0A">
        <w:t xml:space="preserve"> </w:t>
      </w:r>
      <w:r>
        <w:t xml:space="preserve">The scheme applies to prospective arrangements, as well as </w:t>
      </w:r>
      <w:r w:rsidR="001153A6">
        <w:t xml:space="preserve">pre-existing </w:t>
      </w:r>
      <w:r>
        <w:t xml:space="preserve">arrangements already in operation. Further detail is in </w:t>
      </w:r>
      <w:r w:rsidRPr="00092BA3">
        <w:rPr>
          <w:b/>
          <w:bCs/>
        </w:rPr>
        <w:t>Fact</w:t>
      </w:r>
      <w:r w:rsidR="001153A6">
        <w:rPr>
          <w:b/>
          <w:bCs/>
        </w:rPr>
        <w:t> </w:t>
      </w:r>
      <w:r w:rsidRPr="00092BA3">
        <w:rPr>
          <w:b/>
          <w:bCs/>
        </w:rPr>
        <w:t>Sheet 1.</w:t>
      </w:r>
    </w:p>
    <w:p w14:paraId="701D0835" w14:textId="77777777" w:rsidR="00A55608" w:rsidRPr="00E216F2" w:rsidRDefault="00A55608" w:rsidP="00A55608">
      <w:pPr>
        <w:pStyle w:val="BoxHeading"/>
        <w:spacing w:before="120" w:after="0"/>
        <w:rPr>
          <w:sz w:val="28"/>
          <w:szCs w:val="28"/>
        </w:rPr>
      </w:pPr>
      <w:r w:rsidRPr="00E216F2">
        <w:rPr>
          <w:sz w:val="28"/>
          <w:szCs w:val="28"/>
        </w:rPr>
        <w:t>How will I comply with obligations under the scheme?</w:t>
      </w:r>
    </w:p>
    <w:p w14:paraId="713EB9F5" w14:textId="77777777" w:rsidR="00B42A21" w:rsidRDefault="00B42A21" w:rsidP="00A55608">
      <w:pPr>
        <w:rPr>
          <w:rStyle w:val="Hyperlink"/>
          <w:u w:val="none"/>
        </w:rPr>
      </w:pPr>
      <w:r>
        <w:t xml:space="preserve">State and Territory entities notify the Minister of arrangements through the online portal: </w:t>
      </w:r>
      <w:hyperlink r:id="rId8" w:history="1">
        <w:r w:rsidRPr="00B42A21">
          <w:rPr>
            <w:rStyle w:val="Hyperlink"/>
          </w:rPr>
          <w:t>www.</w:t>
        </w:r>
        <w:r w:rsidRPr="000C0925">
          <w:rPr>
            <w:rStyle w:val="Hyperlink"/>
          </w:rPr>
          <w:t>foreignarrangements.gov.au</w:t>
        </w:r>
      </w:hyperlink>
      <w:r>
        <w:rPr>
          <w:rStyle w:val="Hyperlink"/>
        </w:rPr>
        <w:t>.</w:t>
      </w:r>
      <w:r w:rsidRPr="00F768A4">
        <w:rPr>
          <w:rStyle w:val="Hyperlink"/>
          <w:u w:val="none"/>
        </w:rPr>
        <w:t xml:space="preserve"> </w:t>
      </w:r>
    </w:p>
    <w:p w14:paraId="24D0DAE2" w14:textId="32F4D88D" w:rsidR="00A55608" w:rsidRDefault="00A55608" w:rsidP="00A55608">
      <w:r>
        <w:t>The Department of Foreign Affairs and Trade administer</w:t>
      </w:r>
      <w:r w:rsidR="00B42A21">
        <w:t>s</w:t>
      </w:r>
      <w:r>
        <w:t xml:space="preserve"> the scheme. </w:t>
      </w:r>
    </w:p>
    <w:p w14:paraId="24E54667" w14:textId="6754E9BA" w:rsidR="00A55608" w:rsidRPr="0080448B" w:rsidRDefault="00A55608">
      <w:pPr>
        <w:pStyle w:val="BoxHeading"/>
        <w:spacing w:before="120" w:after="0"/>
        <w:rPr>
          <w:sz w:val="28"/>
          <w:szCs w:val="28"/>
        </w:rPr>
      </w:pPr>
      <w:r>
        <w:rPr>
          <w:sz w:val="28"/>
          <w:szCs w:val="28"/>
        </w:rPr>
        <w:t>Where can I get further information?</w:t>
      </w:r>
    </w:p>
    <w:p w14:paraId="48FDDE08" w14:textId="7CCA8DBF" w:rsidR="00A55608" w:rsidRPr="00A55608" w:rsidRDefault="00A55608" w:rsidP="00A55608">
      <w:r>
        <w:t xml:space="preserve">Contact the Department of Foreign Affairs and Trade at </w:t>
      </w:r>
      <w:r w:rsidRPr="00194D0A">
        <w:rPr>
          <w:rStyle w:val="Hyperlink"/>
          <w:rFonts w:cstheme="minorBidi"/>
        </w:rPr>
        <w:t>foreignarrangements</w:t>
      </w:r>
      <w:hyperlink r:id="rId9" w:history="1">
        <w:r w:rsidRPr="004D6202">
          <w:rPr>
            <w:rStyle w:val="Hyperlink"/>
            <w:rFonts w:cstheme="minorBidi"/>
          </w:rPr>
          <w:t>@dfat.gov.au</w:t>
        </w:r>
      </w:hyperlink>
    </w:p>
    <w:sectPr w:rsidR="00A55608" w:rsidRPr="00A55608" w:rsidSect="00F768A4">
      <w:headerReference w:type="default" r:id="rId10"/>
      <w:footerReference w:type="default" r:id="rId11"/>
      <w:headerReference w:type="first" r:id="rId12"/>
      <w:pgSz w:w="11906" w:h="16838" w:code="9"/>
      <w:pgMar w:top="1701" w:right="1134" w:bottom="1135" w:left="1134" w:header="425" w:footer="56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E4038" w14:textId="77777777" w:rsidR="00E334BD" w:rsidRDefault="00E334BD" w:rsidP="00D37B04">
      <w:r>
        <w:separator/>
      </w:r>
    </w:p>
  </w:endnote>
  <w:endnote w:type="continuationSeparator" w:id="0">
    <w:p w14:paraId="6EAD89F8" w14:textId="77777777" w:rsidR="00E334BD" w:rsidRDefault="00E334BD" w:rsidP="00D37B04">
      <w:r>
        <w:continuationSeparator/>
      </w:r>
    </w:p>
  </w:endnote>
  <w:endnote w:id="1">
    <w:p w14:paraId="1E52AC11" w14:textId="77777777" w:rsidR="00A55608" w:rsidRPr="00194D0A" w:rsidRDefault="00A55608" w:rsidP="00A55608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Pr="0091354A">
        <w:rPr>
          <w:sz w:val="18"/>
          <w:szCs w:val="18"/>
        </w:rPr>
        <w:t xml:space="preserve">* </w:t>
      </w:r>
      <w:r w:rsidRPr="00922950">
        <w:rPr>
          <w:sz w:val="17"/>
          <w:szCs w:val="17"/>
        </w:rPr>
        <w:t xml:space="preserve">This FACT SHEET sets out some of the requirements of the Australia’s Foreign Relations (State and Territory Arrangements) </w:t>
      </w:r>
      <w:r>
        <w:rPr>
          <w:sz w:val="17"/>
          <w:szCs w:val="17"/>
        </w:rPr>
        <w:t>Act</w:t>
      </w:r>
      <w:r w:rsidRPr="00922950">
        <w:rPr>
          <w:sz w:val="17"/>
          <w:szCs w:val="17"/>
        </w:rPr>
        <w:t xml:space="preserve"> 2020. It is not intended to be comprehensive and should not be relied on as a definitive interpretation of the </w:t>
      </w:r>
      <w:r>
        <w:rPr>
          <w:sz w:val="17"/>
          <w:szCs w:val="17"/>
        </w:rPr>
        <w:t>Act</w:t>
      </w:r>
      <w:r w:rsidRPr="00922950">
        <w:rPr>
          <w:sz w:val="17"/>
          <w:szCs w:val="17"/>
        </w:rPr>
        <w:t xml:space="preserve">. It is also not intended as legal advice. Readers should rely on the substantive provisions of </w:t>
      </w:r>
      <w:r>
        <w:rPr>
          <w:sz w:val="17"/>
          <w:szCs w:val="17"/>
        </w:rPr>
        <w:t xml:space="preserve">the </w:t>
      </w:r>
      <w:r w:rsidRPr="00922950">
        <w:rPr>
          <w:sz w:val="17"/>
          <w:szCs w:val="17"/>
        </w:rPr>
        <w:t xml:space="preserve">Act </w:t>
      </w:r>
      <w:r>
        <w:rPr>
          <w:sz w:val="17"/>
          <w:szCs w:val="17"/>
        </w:rPr>
        <w:t xml:space="preserve">as </w:t>
      </w:r>
      <w:r w:rsidRPr="00922950">
        <w:rPr>
          <w:sz w:val="17"/>
          <w:szCs w:val="17"/>
        </w:rPr>
        <w:t>enacted by Parliament, and any applicable rules, in assessing their obligations and seek independent legal advice.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CE89" w14:textId="77777777" w:rsidR="00C35791" w:rsidRDefault="00C35791">
    <w:pPr>
      <w:pStyle w:val="Footer"/>
    </w:pPr>
    <w:r w:rsidRPr="00FC322F">
      <w:rPr>
        <w:b/>
        <w:noProof/>
        <w:lang w:val="en-AU" w:eastAsia="en-AU"/>
      </w:rPr>
      <w:drawing>
        <wp:inline distT="0" distB="0" distL="0" distR="0" wp14:anchorId="5EE1ABE1" wp14:editId="128BBE11">
          <wp:extent cx="108000" cy="87480"/>
          <wp:effectExtent l="0" t="0" r="6350" b="8255"/>
          <wp:docPr id="10" name="Picture 10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>@</w:t>
    </w:r>
    <w:proofErr w:type="gramStart"/>
    <w:r w:rsidRPr="00FC322F">
      <w:rPr>
        <w:b/>
      </w:rPr>
      <w:t xml:space="preserve">DFAT  </w:t>
    </w:r>
    <w:r w:rsidRPr="00FC322F">
      <w:rPr>
        <w:rStyle w:val="Green"/>
        <w:b/>
      </w:rPr>
      <w:t>DFAT.GOV.AU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118A4" w14:textId="77777777" w:rsidR="00E334BD" w:rsidRPr="008C5A0E" w:rsidRDefault="00E334BD" w:rsidP="00D37B04">
      <w:pPr>
        <w:pStyle w:val="Footer"/>
      </w:pPr>
    </w:p>
  </w:footnote>
  <w:footnote w:type="continuationSeparator" w:id="0">
    <w:p w14:paraId="75853F11" w14:textId="77777777" w:rsidR="00E334BD" w:rsidRDefault="00E334BD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0672" w14:textId="77777777" w:rsidR="002D5B25" w:rsidRPr="000854FD" w:rsidRDefault="002D5B25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1" wp14:anchorId="3728B132" wp14:editId="4BBDBDD2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A1255" w14:textId="77777777" w:rsidR="002D5B25" w:rsidRDefault="002D5B25" w:rsidP="002D5B25">
    <w:pPr>
      <w:pStyle w:val="Header"/>
    </w:pPr>
  </w:p>
  <w:p w14:paraId="4C5C0FB0" w14:textId="118A5E51" w:rsidR="009A3A8B" w:rsidRDefault="002D5B25" w:rsidP="00943730">
    <w:pPr>
      <w:pStyle w:val="Header"/>
    </w:pP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0546E4">
      <w:rPr>
        <w:noProof/>
      </w:rPr>
      <w:t>January 2021</w:t>
    </w:r>
    <w:r w:rsidRPr="00943730">
      <w:fldChar w:fldCharType="end"/>
    </w:r>
  </w:p>
  <w:p w14:paraId="6674C8E3" w14:textId="77777777" w:rsidR="009A3A8B" w:rsidRDefault="009A3A8B" w:rsidP="00943730">
    <w:pPr>
      <w:pStyle w:val="Header"/>
    </w:pPr>
  </w:p>
  <w:p w14:paraId="05CE15A2" w14:textId="02D2A79C" w:rsidR="00D37B04" w:rsidRPr="00943730" w:rsidRDefault="002D5B25" w:rsidP="00943730">
    <w:pPr>
      <w:pStyle w:val="Header"/>
    </w:pPr>
    <w:r w:rsidRPr="00943730">
      <w:rPr>
        <w:noProof/>
        <w:lang w:val="en-AU" w:eastAsia="en-AU"/>
      </w:rPr>
      <w:drawing>
        <wp:inline distT="0" distB="0" distL="0" distR="0" wp14:anchorId="16075829" wp14:editId="66042C75">
          <wp:extent cx="3166745" cy="554355"/>
          <wp:effectExtent l="0" t="0" r="0" b="0"/>
          <wp:docPr id="11" name="Picture 11" descr="Department of Foreign Affairs and Trade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r w:rsidRPr="00943730"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207FB2FE" wp14:editId="19D90F3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040" cy="10692765"/>
          <wp:effectExtent l="0" t="0" r="381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457071E"/>
    <w:multiLevelType w:val="hybridMultilevel"/>
    <w:tmpl w:val="64545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191612AA"/>
    <w:multiLevelType w:val="hybridMultilevel"/>
    <w:tmpl w:val="6DCEEA88"/>
    <w:lvl w:ilvl="0" w:tplc="63842D9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53D2F"/>
    <w:multiLevelType w:val="multilevel"/>
    <w:tmpl w:val="51963F56"/>
    <w:numStyleLink w:val="BulletsList"/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8" w15:restartNumberingAfterBreak="0">
    <w:nsid w:val="61DA2E64"/>
    <w:multiLevelType w:val="hybridMultilevel"/>
    <w:tmpl w:val="E780C9F4"/>
    <w:lvl w:ilvl="0" w:tplc="C6D2D86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07305"/>
    <w:multiLevelType w:val="multilevel"/>
    <w:tmpl w:val="51963F56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756E43F2"/>
    <w:multiLevelType w:val="hybridMultilevel"/>
    <w:tmpl w:val="D7C64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2031D"/>
    <w:multiLevelType w:val="hybridMultilevel"/>
    <w:tmpl w:val="2B8029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</w:num>
  <w:num w:numId="15">
    <w:abstractNumId w:val="8"/>
  </w:num>
  <w:num w:numId="16">
    <w:abstractNumId w:val="1"/>
  </w:num>
  <w:num w:numId="17">
    <w:abstractNumId w:val="10"/>
  </w:num>
  <w:num w:numId="18">
    <w:abstractNumId w:val="4"/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9A"/>
    <w:rsid w:val="00001DA8"/>
    <w:rsid w:val="000020C1"/>
    <w:rsid w:val="0002080A"/>
    <w:rsid w:val="0002782F"/>
    <w:rsid w:val="00031486"/>
    <w:rsid w:val="00035BBF"/>
    <w:rsid w:val="00044868"/>
    <w:rsid w:val="00050806"/>
    <w:rsid w:val="000546D9"/>
    <w:rsid w:val="000546E4"/>
    <w:rsid w:val="00054E4D"/>
    <w:rsid w:val="00060073"/>
    <w:rsid w:val="000616C6"/>
    <w:rsid w:val="00072B06"/>
    <w:rsid w:val="00076F1B"/>
    <w:rsid w:val="000854FD"/>
    <w:rsid w:val="00086936"/>
    <w:rsid w:val="00094D42"/>
    <w:rsid w:val="00097A1A"/>
    <w:rsid w:val="000A407E"/>
    <w:rsid w:val="000B37F5"/>
    <w:rsid w:val="000B4865"/>
    <w:rsid w:val="000C1D20"/>
    <w:rsid w:val="000C3208"/>
    <w:rsid w:val="000D5471"/>
    <w:rsid w:val="000D66D6"/>
    <w:rsid w:val="000E52B8"/>
    <w:rsid w:val="000E5C8C"/>
    <w:rsid w:val="000E6399"/>
    <w:rsid w:val="000F741A"/>
    <w:rsid w:val="00102A6A"/>
    <w:rsid w:val="00103CF5"/>
    <w:rsid w:val="00106715"/>
    <w:rsid w:val="00113288"/>
    <w:rsid w:val="001153A6"/>
    <w:rsid w:val="00115AEF"/>
    <w:rsid w:val="00116AD7"/>
    <w:rsid w:val="001214BE"/>
    <w:rsid w:val="0013101C"/>
    <w:rsid w:val="001461D6"/>
    <w:rsid w:val="00151183"/>
    <w:rsid w:val="001541EA"/>
    <w:rsid w:val="00155932"/>
    <w:rsid w:val="001562A0"/>
    <w:rsid w:val="0016664C"/>
    <w:rsid w:val="001711E2"/>
    <w:rsid w:val="001952E7"/>
    <w:rsid w:val="001A64BF"/>
    <w:rsid w:val="001D0CFD"/>
    <w:rsid w:val="001D663E"/>
    <w:rsid w:val="001E1DC0"/>
    <w:rsid w:val="001E548C"/>
    <w:rsid w:val="001E6D20"/>
    <w:rsid w:val="001F29F2"/>
    <w:rsid w:val="001F74E4"/>
    <w:rsid w:val="00203533"/>
    <w:rsid w:val="00204EC4"/>
    <w:rsid w:val="00207FF9"/>
    <w:rsid w:val="00244229"/>
    <w:rsid w:val="00252882"/>
    <w:rsid w:val="00265C21"/>
    <w:rsid w:val="00281BF2"/>
    <w:rsid w:val="0028602A"/>
    <w:rsid w:val="00295342"/>
    <w:rsid w:val="00296826"/>
    <w:rsid w:val="0029768D"/>
    <w:rsid w:val="002A27E6"/>
    <w:rsid w:val="002A66B4"/>
    <w:rsid w:val="002B152C"/>
    <w:rsid w:val="002B5E10"/>
    <w:rsid w:val="002B7E31"/>
    <w:rsid w:val="002C022B"/>
    <w:rsid w:val="002C793D"/>
    <w:rsid w:val="002D5B25"/>
    <w:rsid w:val="002F4F2B"/>
    <w:rsid w:val="003002C0"/>
    <w:rsid w:val="00301144"/>
    <w:rsid w:val="003031C6"/>
    <w:rsid w:val="00304984"/>
    <w:rsid w:val="00306D60"/>
    <w:rsid w:val="00312BF8"/>
    <w:rsid w:val="003148B7"/>
    <w:rsid w:val="003158C3"/>
    <w:rsid w:val="00321953"/>
    <w:rsid w:val="00324FA2"/>
    <w:rsid w:val="003274CD"/>
    <w:rsid w:val="00333501"/>
    <w:rsid w:val="003457C4"/>
    <w:rsid w:val="003470D8"/>
    <w:rsid w:val="0035119D"/>
    <w:rsid w:val="00374741"/>
    <w:rsid w:val="0039344A"/>
    <w:rsid w:val="003B4F12"/>
    <w:rsid w:val="003C6C4F"/>
    <w:rsid w:val="003D2290"/>
    <w:rsid w:val="003E55A3"/>
    <w:rsid w:val="003F2041"/>
    <w:rsid w:val="00402ACC"/>
    <w:rsid w:val="00403943"/>
    <w:rsid w:val="00405FC4"/>
    <w:rsid w:val="004120EC"/>
    <w:rsid w:val="00415325"/>
    <w:rsid w:val="00423F31"/>
    <w:rsid w:val="00426AF2"/>
    <w:rsid w:val="00431899"/>
    <w:rsid w:val="004702CB"/>
    <w:rsid w:val="00482AE8"/>
    <w:rsid w:val="00486804"/>
    <w:rsid w:val="004942F6"/>
    <w:rsid w:val="004B3775"/>
    <w:rsid w:val="004D0BA0"/>
    <w:rsid w:val="004D7A69"/>
    <w:rsid w:val="004E058F"/>
    <w:rsid w:val="004E3B87"/>
    <w:rsid w:val="004F01EC"/>
    <w:rsid w:val="004F6152"/>
    <w:rsid w:val="00501398"/>
    <w:rsid w:val="00510921"/>
    <w:rsid w:val="00510AD3"/>
    <w:rsid w:val="00513348"/>
    <w:rsid w:val="00513AD8"/>
    <w:rsid w:val="005204D2"/>
    <w:rsid w:val="00522396"/>
    <w:rsid w:val="00524117"/>
    <w:rsid w:val="005250C5"/>
    <w:rsid w:val="00533B5D"/>
    <w:rsid w:val="00543D5C"/>
    <w:rsid w:val="0055046C"/>
    <w:rsid w:val="00567266"/>
    <w:rsid w:val="00587B3C"/>
    <w:rsid w:val="00596166"/>
    <w:rsid w:val="005A20F6"/>
    <w:rsid w:val="005B6905"/>
    <w:rsid w:val="005D2646"/>
    <w:rsid w:val="005D279B"/>
    <w:rsid w:val="005D2C61"/>
    <w:rsid w:val="005D3655"/>
    <w:rsid w:val="005E4830"/>
    <w:rsid w:val="00622B86"/>
    <w:rsid w:val="00623BA1"/>
    <w:rsid w:val="0062448B"/>
    <w:rsid w:val="00627FD4"/>
    <w:rsid w:val="006346BC"/>
    <w:rsid w:val="006454F0"/>
    <w:rsid w:val="00655503"/>
    <w:rsid w:val="0066652A"/>
    <w:rsid w:val="006719C3"/>
    <w:rsid w:val="0067797F"/>
    <w:rsid w:val="00680522"/>
    <w:rsid w:val="00682167"/>
    <w:rsid w:val="00692D96"/>
    <w:rsid w:val="006C42AF"/>
    <w:rsid w:val="006D6E15"/>
    <w:rsid w:val="006E2E69"/>
    <w:rsid w:val="006E404E"/>
    <w:rsid w:val="006F04F1"/>
    <w:rsid w:val="006F5EEF"/>
    <w:rsid w:val="0070384E"/>
    <w:rsid w:val="00705AC9"/>
    <w:rsid w:val="00711D8E"/>
    <w:rsid w:val="00712672"/>
    <w:rsid w:val="00734E3F"/>
    <w:rsid w:val="00736985"/>
    <w:rsid w:val="00745DF5"/>
    <w:rsid w:val="0074692E"/>
    <w:rsid w:val="00750C83"/>
    <w:rsid w:val="007619E0"/>
    <w:rsid w:val="0076250F"/>
    <w:rsid w:val="00766301"/>
    <w:rsid w:val="00780FA5"/>
    <w:rsid w:val="0078566B"/>
    <w:rsid w:val="007B6200"/>
    <w:rsid w:val="007C70DD"/>
    <w:rsid w:val="007D51B3"/>
    <w:rsid w:val="007E2E40"/>
    <w:rsid w:val="007E556D"/>
    <w:rsid w:val="007E7D68"/>
    <w:rsid w:val="007F3395"/>
    <w:rsid w:val="00801B9F"/>
    <w:rsid w:val="0080204D"/>
    <w:rsid w:val="0080448B"/>
    <w:rsid w:val="00812863"/>
    <w:rsid w:val="008270F0"/>
    <w:rsid w:val="00837427"/>
    <w:rsid w:val="0084191E"/>
    <w:rsid w:val="008475F0"/>
    <w:rsid w:val="00850910"/>
    <w:rsid w:val="008557A7"/>
    <w:rsid w:val="00870928"/>
    <w:rsid w:val="00872AA6"/>
    <w:rsid w:val="0089405C"/>
    <w:rsid w:val="00897FA2"/>
    <w:rsid w:val="008A5AFE"/>
    <w:rsid w:val="008C30D4"/>
    <w:rsid w:val="008C5A0E"/>
    <w:rsid w:val="008D5CDB"/>
    <w:rsid w:val="008D6DCD"/>
    <w:rsid w:val="008F24E7"/>
    <w:rsid w:val="009068E3"/>
    <w:rsid w:val="00916E1F"/>
    <w:rsid w:val="00920046"/>
    <w:rsid w:val="0092157F"/>
    <w:rsid w:val="00922950"/>
    <w:rsid w:val="009330B3"/>
    <w:rsid w:val="0094139D"/>
    <w:rsid w:val="00943730"/>
    <w:rsid w:val="00965398"/>
    <w:rsid w:val="009704CA"/>
    <w:rsid w:val="00975CA5"/>
    <w:rsid w:val="009838B0"/>
    <w:rsid w:val="00986590"/>
    <w:rsid w:val="009869BF"/>
    <w:rsid w:val="00992C76"/>
    <w:rsid w:val="00995889"/>
    <w:rsid w:val="009969D6"/>
    <w:rsid w:val="009A3A8B"/>
    <w:rsid w:val="009A47F6"/>
    <w:rsid w:val="009B4D3B"/>
    <w:rsid w:val="009D5259"/>
    <w:rsid w:val="009D7407"/>
    <w:rsid w:val="009E0866"/>
    <w:rsid w:val="009E273C"/>
    <w:rsid w:val="009F1350"/>
    <w:rsid w:val="009F6423"/>
    <w:rsid w:val="00A06733"/>
    <w:rsid w:val="00A22962"/>
    <w:rsid w:val="00A238F1"/>
    <w:rsid w:val="00A24A62"/>
    <w:rsid w:val="00A24CBE"/>
    <w:rsid w:val="00A315AC"/>
    <w:rsid w:val="00A31C9F"/>
    <w:rsid w:val="00A4144F"/>
    <w:rsid w:val="00A51F06"/>
    <w:rsid w:val="00A55608"/>
    <w:rsid w:val="00A61B4D"/>
    <w:rsid w:val="00A62777"/>
    <w:rsid w:val="00A62EEB"/>
    <w:rsid w:val="00A63400"/>
    <w:rsid w:val="00A80F95"/>
    <w:rsid w:val="00A82C60"/>
    <w:rsid w:val="00A97BF1"/>
    <w:rsid w:val="00AA298A"/>
    <w:rsid w:val="00AA2CB9"/>
    <w:rsid w:val="00AB0D54"/>
    <w:rsid w:val="00AC164A"/>
    <w:rsid w:val="00AD646B"/>
    <w:rsid w:val="00AE448A"/>
    <w:rsid w:val="00AE4E9A"/>
    <w:rsid w:val="00AF2050"/>
    <w:rsid w:val="00B02B2A"/>
    <w:rsid w:val="00B03CA8"/>
    <w:rsid w:val="00B0677D"/>
    <w:rsid w:val="00B260E8"/>
    <w:rsid w:val="00B33C0A"/>
    <w:rsid w:val="00B42A21"/>
    <w:rsid w:val="00B43043"/>
    <w:rsid w:val="00B55E19"/>
    <w:rsid w:val="00B635ED"/>
    <w:rsid w:val="00B67F43"/>
    <w:rsid w:val="00B80CE6"/>
    <w:rsid w:val="00B857E1"/>
    <w:rsid w:val="00B94758"/>
    <w:rsid w:val="00BA282A"/>
    <w:rsid w:val="00BA4B6D"/>
    <w:rsid w:val="00BB26C5"/>
    <w:rsid w:val="00BB7958"/>
    <w:rsid w:val="00BC3055"/>
    <w:rsid w:val="00BF4DE6"/>
    <w:rsid w:val="00C06B13"/>
    <w:rsid w:val="00C25514"/>
    <w:rsid w:val="00C27D25"/>
    <w:rsid w:val="00C35791"/>
    <w:rsid w:val="00C37087"/>
    <w:rsid w:val="00C42541"/>
    <w:rsid w:val="00C42CDE"/>
    <w:rsid w:val="00C42EB7"/>
    <w:rsid w:val="00C5182A"/>
    <w:rsid w:val="00C60108"/>
    <w:rsid w:val="00C63EE9"/>
    <w:rsid w:val="00C9161E"/>
    <w:rsid w:val="00C92B56"/>
    <w:rsid w:val="00CA16F3"/>
    <w:rsid w:val="00CA37B1"/>
    <w:rsid w:val="00CB11B2"/>
    <w:rsid w:val="00CB1959"/>
    <w:rsid w:val="00CC741B"/>
    <w:rsid w:val="00CC75F5"/>
    <w:rsid w:val="00CD0E4B"/>
    <w:rsid w:val="00CD591A"/>
    <w:rsid w:val="00CE1941"/>
    <w:rsid w:val="00CE3E15"/>
    <w:rsid w:val="00CE43EF"/>
    <w:rsid w:val="00CE4460"/>
    <w:rsid w:val="00CE4C89"/>
    <w:rsid w:val="00CE6D3F"/>
    <w:rsid w:val="00CF07BA"/>
    <w:rsid w:val="00CF4AED"/>
    <w:rsid w:val="00D0296C"/>
    <w:rsid w:val="00D12214"/>
    <w:rsid w:val="00D12B79"/>
    <w:rsid w:val="00D201C4"/>
    <w:rsid w:val="00D32D6F"/>
    <w:rsid w:val="00D37B04"/>
    <w:rsid w:val="00D540C6"/>
    <w:rsid w:val="00D64BD1"/>
    <w:rsid w:val="00D71A2E"/>
    <w:rsid w:val="00D77F19"/>
    <w:rsid w:val="00D80E02"/>
    <w:rsid w:val="00D92254"/>
    <w:rsid w:val="00D97473"/>
    <w:rsid w:val="00DE084C"/>
    <w:rsid w:val="00DF138C"/>
    <w:rsid w:val="00E00ED1"/>
    <w:rsid w:val="00E14F51"/>
    <w:rsid w:val="00E216F2"/>
    <w:rsid w:val="00E244F2"/>
    <w:rsid w:val="00E334BD"/>
    <w:rsid w:val="00E351CE"/>
    <w:rsid w:val="00E357B7"/>
    <w:rsid w:val="00E53800"/>
    <w:rsid w:val="00E6081F"/>
    <w:rsid w:val="00E70BA4"/>
    <w:rsid w:val="00E8296D"/>
    <w:rsid w:val="00E8457B"/>
    <w:rsid w:val="00E93E1A"/>
    <w:rsid w:val="00E97DA4"/>
    <w:rsid w:val="00EA04B2"/>
    <w:rsid w:val="00EA20F3"/>
    <w:rsid w:val="00EB191A"/>
    <w:rsid w:val="00EC457C"/>
    <w:rsid w:val="00ED1FD7"/>
    <w:rsid w:val="00ED2831"/>
    <w:rsid w:val="00ED43D1"/>
    <w:rsid w:val="00ED521C"/>
    <w:rsid w:val="00EE4EE1"/>
    <w:rsid w:val="00EF4574"/>
    <w:rsid w:val="00F1090B"/>
    <w:rsid w:val="00F20076"/>
    <w:rsid w:val="00F25A93"/>
    <w:rsid w:val="00F2684E"/>
    <w:rsid w:val="00F50B3F"/>
    <w:rsid w:val="00F50BD7"/>
    <w:rsid w:val="00F5404C"/>
    <w:rsid w:val="00F5606B"/>
    <w:rsid w:val="00F67C6A"/>
    <w:rsid w:val="00F729EF"/>
    <w:rsid w:val="00F768A4"/>
    <w:rsid w:val="00F77CAE"/>
    <w:rsid w:val="00F82271"/>
    <w:rsid w:val="00F83428"/>
    <w:rsid w:val="00F917FA"/>
    <w:rsid w:val="00F96BB9"/>
    <w:rsid w:val="00FD507A"/>
    <w:rsid w:val="00FE6D51"/>
    <w:rsid w:val="00FE6F2A"/>
    <w:rsid w:val="00FF3F5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85C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C6C4F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92E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407E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03CF5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92E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407E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link w:val="Bullet1Char"/>
    <w:qFormat/>
    <w:rsid w:val="00103CF5"/>
    <w:p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03CF5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03CF5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3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3CF5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locked/>
    <w:rsid w:val="00FD507A"/>
    <w:pPr>
      <w:suppressAutoHyphens w:val="0"/>
      <w:spacing w:before="0" w:after="200" w:line="276" w:lineRule="auto"/>
      <w:ind w:left="720"/>
      <w:contextualSpacing/>
    </w:pPr>
    <w:rPr>
      <w:color w:val="auto"/>
      <w:lang w:val="en-AU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link w:val="ListParagraph"/>
    <w:uiPriority w:val="34"/>
    <w:qFormat/>
    <w:locked/>
    <w:rsid w:val="00FD507A"/>
  </w:style>
  <w:style w:type="paragraph" w:styleId="NormalWeb">
    <w:name w:val="Normal (Web)"/>
    <w:basedOn w:val="Normal"/>
    <w:uiPriority w:val="99"/>
    <w:unhideWhenUsed/>
    <w:rsid w:val="0099588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Bullet1Char">
    <w:name w:val="Bullet 1 Char"/>
    <w:link w:val="Bullet1"/>
    <w:locked/>
    <w:rsid w:val="00CD591A"/>
    <w:rPr>
      <w:color w:val="495965" w:themeColor="text2"/>
      <w:lang w:val="en-GB"/>
    </w:rPr>
  </w:style>
  <w:style w:type="character" w:customStyle="1" w:styleId="paragraphChar">
    <w:name w:val="paragraph Char"/>
    <w:aliases w:val="a Char"/>
    <w:link w:val="paragraph"/>
    <w:locked/>
    <w:rsid w:val="003D2290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3D2290"/>
    <w:pPr>
      <w:tabs>
        <w:tab w:val="right" w:pos="1531"/>
      </w:tabs>
      <w:suppressAutoHyphens w:val="0"/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color w:val="auto"/>
      <w:szCs w:val="20"/>
      <w:lang w:val="en-AU"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055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055"/>
    <w:rPr>
      <w:color w:val="495965" w:themeColor="text2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C305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42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ignarrangements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@dfat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2FD0-2359-42C7-9558-1D4C69ED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2021-01-27T01:22:00Z</dcterms:created>
  <dcterms:modified xsi:type="dcterms:W3CDTF">2021-01-27T01:22:00Z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5f3088b2-1dfe-4cdb-8a4a-68468bdb1ce6</vt:lpwstr>
  </property>
  <property fmtid="{D5CDD505-2E9C-101B-9397-08002B2CF9AE}" pid="3" name="SEC">
    <vt:lpwstr>OFFICIAL</vt:lpwstr>
  </property>
</Properties>
</file>