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F8BA" w14:textId="01AEBE8B" w:rsidR="006A02E8" w:rsidRPr="00A238F1" w:rsidRDefault="006A02E8" w:rsidP="006A02E8">
      <w:pPr>
        <w:pStyle w:val="Title"/>
        <w:spacing w:line="300" w:lineRule="exact"/>
        <w:ind w:left="-709" w:right="-709"/>
        <w:contextualSpacing w:val="0"/>
        <w:jc w:val="center"/>
        <w:rPr>
          <w:sz w:val="32"/>
          <w:szCs w:val="32"/>
        </w:rPr>
      </w:pPr>
      <w:r>
        <w:rPr>
          <w:sz w:val="32"/>
          <w:szCs w:val="32"/>
        </w:rPr>
        <w:br/>
      </w:r>
      <w:r w:rsidRPr="00A238F1">
        <w:rPr>
          <w:sz w:val="32"/>
          <w:szCs w:val="32"/>
        </w:rPr>
        <w:t xml:space="preserve">Australia’s Foreign Relations </w:t>
      </w:r>
      <w:r>
        <w:rPr>
          <w:sz w:val="32"/>
          <w:szCs w:val="32"/>
        </w:rPr>
        <w:br/>
      </w:r>
      <w:r w:rsidRPr="00A238F1">
        <w:rPr>
          <w:sz w:val="32"/>
          <w:szCs w:val="32"/>
        </w:rPr>
        <w:t xml:space="preserve">(State and Territory Arrangements) </w:t>
      </w:r>
      <w:r>
        <w:rPr>
          <w:sz w:val="32"/>
          <w:szCs w:val="32"/>
        </w:rPr>
        <w:t>Act 2020</w:t>
      </w:r>
    </w:p>
    <w:p w14:paraId="2723CF9D" w14:textId="77777777" w:rsidR="006A02E8" w:rsidRPr="006774B1" w:rsidRDefault="006A02E8" w:rsidP="006A02E8">
      <w:pPr>
        <w:suppressAutoHyphens w:val="0"/>
        <w:spacing w:before="0" w:after="0" w:line="240" w:lineRule="auto"/>
        <w:jc w:val="center"/>
        <w:rPr>
          <w:rFonts w:ascii="Times New Roman" w:hAnsi="Times New Roman" w:cs="Times New Roman"/>
          <w:color w:val="auto"/>
          <w:sz w:val="24"/>
          <w:szCs w:val="24"/>
          <w:lang w:val="en-AU" w:eastAsia="en-AU"/>
        </w:rPr>
      </w:pPr>
      <w:r>
        <w:rPr>
          <w:sz w:val="32"/>
          <w:szCs w:val="32"/>
        </w:rPr>
        <w:t>FACT SHEET 5—EXEMPTIONS</w:t>
      </w:r>
      <w:bookmarkStart w:id="0" w:name="_Hlk57708766"/>
      <w:r w:rsidRPr="006774B1">
        <w:rPr>
          <w:rStyle w:val="Heading3Char"/>
          <w:sz w:val="32"/>
          <w:szCs w:val="32"/>
        </w:rPr>
        <w:t xml:space="preserve"> </w:t>
      </w:r>
      <w:r>
        <w:rPr>
          <w:rStyle w:val="EndnoteReference"/>
          <w:sz w:val="32"/>
          <w:szCs w:val="32"/>
        </w:rPr>
        <w:endnoteReference w:id="1"/>
      </w:r>
      <w:bookmarkEnd w:id="0"/>
    </w:p>
    <w:p w14:paraId="23E07DEC" w14:textId="77777777" w:rsidR="006A02E8" w:rsidRPr="00E03060" w:rsidRDefault="006A02E8" w:rsidP="00E03060">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auto"/>
        </w:rPr>
      </w:pPr>
      <w:bookmarkStart w:id="1" w:name="_GoBack"/>
      <w:r w:rsidRPr="00E03060">
        <w:rPr>
          <w:b/>
          <w:bCs/>
          <w:color w:val="auto"/>
        </w:rPr>
        <w:t xml:space="preserve">Australia’s Foreign Relations (State and Territory Arrangements) Act 2020 (the Act) fosters a systematic and consistent approach to foreign engagement across all levels of Australian government. It creates a scheme to ensure that arrangements between State or Territory governments and foreign government entities do not adversely affect Australia’s foreign relations and are not inconsistent with Australia’s foreign policy.  </w:t>
      </w:r>
    </w:p>
    <w:bookmarkEnd w:id="1"/>
    <w:p w14:paraId="764B8FF0" w14:textId="77777777" w:rsidR="006A02E8" w:rsidRPr="00E03060" w:rsidRDefault="006A02E8" w:rsidP="006A02E8">
      <w:pPr>
        <w:pStyle w:val="IntroPara"/>
        <w:jc w:val="center"/>
        <w:rPr>
          <w:color w:val="auto"/>
        </w:rPr>
      </w:pPr>
      <w:r w:rsidRPr="00E03060">
        <w:rPr>
          <w:color w:val="auto"/>
        </w:rPr>
        <w:t>This Fact Sheet should be read together with ‘Fact Sheet 1–Overview’</w:t>
      </w:r>
    </w:p>
    <w:p w14:paraId="4BDDD5C9" w14:textId="77777777" w:rsidR="006A02E8" w:rsidRDefault="006A02E8" w:rsidP="006A02E8">
      <w:pPr>
        <w:pStyle w:val="BoxHeading"/>
        <w:spacing w:before="120" w:after="0"/>
        <w:rPr>
          <w:sz w:val="28"/>
          <w:szCs w:val="28"/>
        </w:rPr>
      </w:pPr>
      <w:r>
        <w:rPr>
          <w:sz w:val="28"/>
          <w:szCs w:val="28"/>
        </w:rPr>
        <w:t>What arrangements does the scheme consider?</w:t>
      </w:r>
    </w:p>
    <w:p w14:paraId="185F5391" w14:textId="77777777" w:rsidR="006A02E8" w:rsidRDefault="006A02E8" w:rsidP="006A02E8">
      <w:r w:rsidRPr="00194D0A">
        <w:t xml:space="preserve">The </w:t>
      </w:r>
      <w:r>
        <w:t>Foreign Arrangements Scheme (the scheme) ensures that</w:t>
      </w:r>
      <w:r w:rsidRPr="00B04DDE">
        <w:t xml:space="preserve"> </w:t>
      </w:r>
      <w:r w:rsidRPr="00B04DDE">
        <w:rPr>
          <w:b/>
        </w:rPr>
        <w:t>foreign arrangements</w:t>
      </w:r>
      <w:r>
        <w:rPr>
          <w:b/>
        </w:rPr>
        <w:t xml:space="preserve"> </w:t>
      </w:r>
      <w:r w:rsidRPr="000727E1">
        <w:t>are consistent with</w:t>
      </w:r>
      <w:r>
        <w:t xml:space="preserve"> Australian</w:t>
      </w:r>
      <w:r w:rsidRPr="000727E1">
        <w:t xml:space="preserve"> foreign policy</w:t>
      </w:r>
      <w:r w:rsidRPr="00194D0A">
        <w:t xml:space="preserve">. </w:t>
      </w:r>
    </w:p>
    <w:p w14:paraId="1C15A976" w14:textId="77777777" w:rsidR="006A02E8" w:rsidRDefault="006A02E8" w:rsidP="006A02E8">
      <w:r>
        <w:t xml:space="preserve">An </w:t>
      </w:r>
      <w:r w:rsidRPr="00BB6EA0">
        <w:rPr>
          <w:b/>
          <w:bCs/>
        </w:rPr>
        <w:t>arrangement</w:t>
      </w:r>
      <w:r>
        <w:rPr>
          <w:b/>
          <w:bCs/>
        </w:rPr>
        <w:t xml:space="preserve"> </w:t>
      </w:r>
      <w:r>
        <w:t>is any written arrangement, agreement, contract, understanding or undertaking</w:t>
      </w:r>
      <w:r w:rsidRPr="00194D0A">
        <w:t xml:space="preserve"> </w:t>
      </w:r>
      <w:r w:rsidRPr="00B04DDE">
        <w:t>between State and Territory entities and foreign entities</w:t>
      </w:r>
      <w:r>
        <w:t xml:space="preserve">. They may be legally-binding or not legally-binding. </w:t>
      </w:r>
    </w:p>
    <w:p w14:paraId="0612C7CC" w14:textId="77777777" w:rsidR="006A02E8" w:rsidRDefault="006A02E8" w:rsidP="006A02E8">
      <w:r>
        <w:t xml:space="preserve">A foreign arrangement between a State or </w:t>
      </w:r>
      <w:r w:rsidRPr="00B04DDE">
        <w:t>Territory entit</w:t>
      </w:r>
      <w:r>
        <w:t>y</w:t>
      </w:r>
      <w:r w:rsidRPr="00B04DDE">
        <w:t xml:space="preserve"> and </w:t>
      </w:r>
      <w:r>
        <w:t xml:space="preserve">a </w:t>
      </w:r>
      <w:r w:rsidRPr="00B04DDE">
        <w:t>foreign entit</w:t>
      </w:r>
      <w:r>
        <w:t xml:space="preserve">y will be within the scheme even if there are other parties to the arrangement. </w:t>
      </w:r>
    </w:p>
    <w:p w14:paraId="19878BDE" w14:textId="77777777" w:rsidR="006A02E8" w:rsidRDefault="006A02E8" w:rsidP="006A02E8">
      <w:r>
        <w:t xml:space="preserve">The Minister for Foreign Affairs has exempted certain arrangements through the </w:t>
      </w:r>
      <w:r w:rsidRPr="008D13A9">
        <w:rPr>
          <w:i/>
          <w:iCs/>
        </w:rPr>
        <w:t>Australia’s Foreign Relations (State and Territory Arrangements) Rules 2020</w:t>
      </w:r>
      <w:r>
        <w:t xml:space="preserve"> (the rules). </w:t>
      </w:r>
    </w:p>
    <w:p w14:paraId="000D8451" w14:textId="77777777" w:rsidR="006A02E8" w:rsidRDefault="006A02E8" w:rsidP="006A02E8">
      <w:pPr>
        <w:pStyle w:val="BoxHeading"/>
        <w:spacing w:before="120" w:after="0"/>
        <w:rPr>
          <w:sz w:val="28"/>
          <w:szCs w:val="28"/>
        </w:rPr>
      </w:pPr>
      <w:r w:rsidRPr="00420104">
        <w:rPr>
          <w:sz w:val="28"/>
          <w:szCs w:val="28"/>
        </w:rPr>
        <w:t>How are variations of arrangements addressed?</w:t>
      </w:r>
    </w:p>
    <w:p w14:paraId="2199C18A" w14:textId="77777777" w:rsidR="006A02E8" w:rsidRPr="008D13A9" w:rsidRDefault="006A02E8" w:rsidP="006A02E8">
      <w:r>
        <w:t xml:space="preserve">The scheme applies to a </w:t>
      </w:r>
      <w:r w:rsidRPr="008D13A9">
        <w:rPr>
          <w:b/>
          <w:bCs/>
        </w:rPr>
        <w:t>variation of an arrangement</w:t>
      </w:r>
      <w:r>
        <w:t xml:space="preserve"> in the same way it applies in relation to an arrangement. </w:t>
      </w:r>
    </w:p>
    <w:p w14:paraId="22A281C2" w14:textId="77777777" w:rsidR="006A02E8" w:rsidRPr="008D13A9" w:rsidRDefault="006A02E8" w:rsidP="006A02E8">
      <w:r>
        <w:t xml:space="preserve">A variation of an arrangement is any written variation of an arrangement </w:t>
      </w:r>
      <w:proofErr w:type="gramStart"/>
      <w:r>
        <w:t>whether or not</w:t>
      </w:r>
      <w:proofErr w:type="gramEnd"/>
      <w:r>
        <w:t xml:space="preserve"> it is legally binding.</w:t>
      </w:r>
    </w:p>
    <w:p w14:paraId="4F58C08C" w14:textId="77777777" w:rsidR="006A02E8" w:rsidRPr="00420104" w:rsidRDefault="006A02E8" w:rsidP="006A02E8">
      <w:r w:rsidRPr="00420104">
        <w:t xml:space="preserve">The rules may exempt certain variations of arrangements. </w:t>
      </w:r>
    </w:p>
    <w:p w14:paraId="1ADFA93B" w14:textId="77777777" w:rsidR="006A02E8" w:rsidRPr="009316CC" w:rsidRDefault="006A02E8" w:rsidP="006A02E8">
      <w:pPr>
        <w:pStyle w:val="BoxHeading"/>
        <w:spacing w:before="120" w:after="0"/>
        <w:rPr>
          <w:sz w:val="28"/>
          <w:szCs w:val="28"/>
        </w:rPr>
      </w:pPr>
      <w:r>
        <w:rPr>
          <w:sz w:val="28"/>
          <w:szCs w:val="28"/>
        </w:rPr>
        <w:t>What arrangements are exempted?</w:t>
      </w:r>
    </w:p>
    <w:p w14:paraId="116C0544" w14:textId="77777777" w:rsidR="006A02E8" w:rsidRDefault="006A02E8" w:rsidP="006A02E8">
      <w:r>
        <w:t xml:space="preserve">An </w:t>
      </w:r>
      <w:r w:rsidRPr="009316CC">
        <w:rPr>
          <w:b/>
          <w:bCs/>
        </w:rPr>
        <w:t>exempt arrangement</w:t>
      </w:r>
      <w:r>
        <w:t xml:space="preserve"> is an arrangement prescribed by the rules to be an exempt arrangement. </w:t>
      </w:r>
    </w:p>
    <w:p w14:paraId="7812CA75" w14:textId="77777777" w:rsidR="006A02E8" w:rsidRDefault="006A02E8" w:rsidP="006A02E8">
      <w:r>
        <w:t xml:space="preserve">The rules specify that the following arrangements are </w:t>
      </w:r>
      <w:r w:rsidRPr="009316CC">
        <w:rPr>
          <w:b/>
          <w:bCs/>
        </w:rPr>
        <w:t>exempt arrangements</w:t>
      </w:r>
      <w:r>
        <w:rPr>
          <w:b/>
          <w:bCs/>
        </w:rPr>
        <w:t>:</w:t>
      </w:r>
      <w:r>
        <w:t xml:space="preserve">  </w:t>
      </w:r>
    </w:p>
    <w:p w14:paraId="03EDD2A9" w14:textId="77777777" w:rsidR="006A02E8" w:rsidRDefault="006A02E8" w:rsidP="006A02E8">
      <w:pPr>
        <w:pStyle w:val="Bullet1"/>
        <w:numPr>
          <w:ilvl w:val="0"/>
          <w:numId w:val="19"/>
        </w:numPr>
      </w:pPr>
      <w:r w:rsidRPr="00977729">
        <w:t>core foreign arrangements which</w:t>
      </w:r>
      <w:r>
        <w:t xml:space="preserve"> </w:t>
      </w:r>
      <w:r w:rsidRPr="00977729">
        <w:t xml:space="preserve">solely deal with the sharing of information or resources for the management of a declared emergency in Australia; </w:t>
      </w:r>
    </w:p>
    <w:p w14:paraId="55B73D17" w14:textId="77777777" w:rsidR="006A02E8" w:rsidRPr="00420104" w:rsidRDefault="006A02E8" w:rsidP="006A02E8">
      <w:pPr>
        <w:pStyle w:val="Bullet1"/>
        <w:numPr>
          <w:ilvl w:val="0"/>
          <w:numId w:val="19"/>
        </w:numPr>
      </w:pPr>
      <w:r w:rsidRPr="00420104">
        <w:t>foreign arrangements solely dealing with minor administrative or logistical matters (including, for example, flights, accommodation, submitting paperwork or visa applications or the timing of conferences or conference sessions).</w:t>
      </w:r>
    </w:p>
    <w:p w14:paraId="71AF6ED3" w14:textId="77777777" w:rsidR="006A02E8" w:rsidRDefault="006A02E8" w:rsidP="006A02E8">
      <w:r>
        <w:t xml:space="preserve">The rules also specify that a </w:t>
      </w:r>
      <w:r w:rsidRPr="006C6013">
        <w:rPr>
          <w:b/>
          <w:bCs/>
        </w:rPr>
        <w:t>variation of an arrangement</w:t>
      </w:r>
      <w:r>
        <w:t xml:space="preserve"> is an </w:t>
      </w:r>
      <w:r w:rsidRPr="006C6013">
        <w:rPr>
          <w:b/>
          <w:bCs/>
        </w:rPr>
        <w:t>exempt arrangement</w:t>
      </w:r>
      <w:r>
        <w:rPr>
          <w:b/>
          <w:bCs/>
        </w:rPr>
        <w:t xml:space="preserve"> </w:t>
      </w:r>
      <w:r>
        <w:t>where</w:t>
      </w:r>
      <w:r w:rsidRPr="006C6013">
        <w:rPr>
          <w:b/>
          <w:bCs/>
        </w:rPr>
        <w:t>:</w:t>
      </w:r>
      <w:r>
        <w:t xml:space="preserve">  </w:t>
      </w:r>
    </w:p>
    <w:p w14:paraId="723B7BD3" w14:textId="77777777" w:rsidR="006A02E8" w:rsidRDefault="006A02E8" w:rsidP="006A02E8">
      <w:pPr>
        <w:pStyle w:val="Bullet1"/>
        <w:numPr>
          <w:ilvl w:val="0"/>
          <w:numId w:val="19"/>
        </w:numPr>
      </w:pPr>
      <w:r>
        <w:t xml:space="preserve">it is a variation of a foreign arrangement that the Minister was notified had been </w:t>
      </w:r>
      <w:proofErr w:type="gramStart"/>
      <w:r>
        <w:t>entered into</w:t>
      </w:r>
      <w:proofErr w:type="gramEnd"/>
      <w:r>
        <w:t xml:space="preserve">, and </w:t>
      </w:r>
    </w:p>
    <w:p w14:paraId="6F0A527F" w14:textId="77777777" w:rsidR="006A02E8" w:rsidRDefault="006A02E8" w:rsidP="006A02E8">
      <w:pPr>
        <w:pStyle w:val="Bullet1"/>
        <w:numPr>
          <w:ilvl w:val="0"/>
          <w:numId w:val="19"/>
        </w:numPr>
      </w:pPr>
      <w:r>
        <w:t xml:space="preserve">it </w:t>
      </w:r>
      <w:r w:rsidRPr="006C6013">
        <w:t>is a minor variation that does not alter the substance of the arrangement</w:t>
      </w:r>
      <w:r>
        <w:t>.</w:t>
      </w:r>
      <w:r w:rsidRPr="006C6013">
        <w:t xml:space="preserve"> </w:t>
      </w:r>
    </w:p>
    <w:p w14:paraId="7A0BD449" w14:textId="77777777" w:rsidR="006A02E8" w:rsidRPr="006C6013" w:rsidRDefault="006A02E8" w:rsidP="006A02E8">
      <w:pPr>
        <w:pStyle w:val="Bullet1"/>
      </w:pPr>
      <w:r>
        <w:t xml:space="preserve">This includes, for </w:t>
      </w:r>
      <w:r w:rsidRPr="006C6013">
        <w:t>example, a variation that alters the number of students involved in a student exchange under an arrangement from 6 to 5.</w:t>
      </w:r>
    </w:p>
    <w:p w14:paraId="32DBE1FE" w14:textId="77777777" w:rsidR="006A02E8" w:rsidRDefault="006A02E8" w:rsidP="006A02E8">
      <w:pPr>
        <w:pStyle w:val="BoxHeading"/>
        <w:spacing w:before="120" w:after="0"/>
      </w:pPr>
      <w:r>
        <w:lastRenderedPageBreak/>
        <w:t>What does it mean if an arrangement is exempt?</w:t>
      </w:r>
    </w:p>
    <w:p w14:paraId="38798F49" w14:textId="77777777" w:rsidR="006A02E8" w:rsidRDefault="006A02E8" w:rsidP="006A02E8">
      <w:r>
        <w:t xml:space="preserve">If an arrangement is an exempt arrangement, the notification and approval requirements under the scheme will not apply. This does not prevent the Minister from making a declaration in relation to an exempt arrangement if it is inconsistent with Australia’s foreign policy or adverse to Australia’s foreign relations. </w:t>
      </w:r>
    </w:p>
    <w:p w14:paraId="2A7ABE56" w14:textId="77777777" w:rsidR="006A02E8" w:rsidRPr="00E216F2" w:rsidRDefault="006A02E8" w:rsidP="006A02E8">
      <w:pPr>
        <w:pStyle w:val="BoxHeading"/>
        <w:spacing w:before="120" w:after="0"/>
        <w:rPr>
          <w:sz w:val="28"/>
          <w:szCs w:val="28"/>
        </w:rPr>
      </w:pPr>
      <w:r w:rsidRPr="00E216F2">
        <w:rPr>
          <w:sz w:val="28"/>
          <w:szCs w:val="28"/>
        </w:rPr>
        <w:t>How will I comply with obligations under the scheme?</w:t>
      </w:r>
    </w:p>
    <w:p w14:paraId="41E4A26A" w14:textId="77777777" w:rsidR="006A02E8" w:rsidRDefault="006A02E8" w:rsidP="006A02E8">
      <w:r>
        <w:t xml:space="preserve">The Department of Foreign Affairs and </w:t>
      </w:r>
      <w:proofErr w:type="gramStart"/>
      <w:r>
        <w:t>Trade  is</w:t>
      </w:r>
      <w:proofErr w:type="gramEnd"/>
      <w:r>
        <w:t xml:space="preserve"> responsible for administering the scheme. </w:t>
      </w:r>
    </w:p>
    <w:p w14:paraId="7B3786AF" w14:textId="77777777" w:rsidR="006A02E8" w:rsidRDefault="006A02E8" w:rsidP="006A02E8">
      <w:r>
        <w:t xml:space="preserve">Obligations under the scheme are met via an online portal that enables States and Territories to make notifications to the Minister. </w:t>
      </w:r>
    </w:p>
    <w:p w14:paraId="1C36E109" w14:textId="77777777" w:rsidR="006A02E8" w:rsidRPr="0080448B" w:rsidRDefault="006A02E8" w:rsidP="006A02E8">
      <w:pPr>
        <w:pStyle w:val="BoxHeading"/>
        <w:spacing w:before="120" w:after="0"/>
        <w:rPr>
          <w:sz w:val="28"/>
          <w:szCs w:val="28"/>
        </w:rPr>
      </w:pPr>
      <w:r>
        <w:rPr>
          <w:sz w:val="28"/>
          <w:szCs w:val="28"/>
        </w:rPr>
        <w:t>Where can I get further information?</w:t>
      </w:r>
    </w:p>
    <w:p w14:paraId="0063DAAF" w14:textId="77777777" w:rsidR="006A02E8" w:rsidRDefault="006A02E8" w:rsidP="006A02E8">
      <w:pPr>
        <w:pStyle w:val="BoxHeading"/>
        <w:spacing w:before="120" w:after="0"/>
        <w:rPr>
          <w:szCs w:val="20"/>
        </w:rPr>
      </w:pPr>
      <w:r w:rsidRPr="008D13A9">
        <w:rPr>
          <w:rFonts w:asciiTheme="minorHAnsi" w:eastAsiaTheme="minorHAnsi" w:hAnsiTheme="minorHAnsi" w:cstheme="minorBidi"/>
          <w:bCs w:val="0"/>
          <w:sz w:val="22"/>
          <w:szCs w:val="22"/>
        </w:rPr>
        <w:t>Contact the Department of Foreign Affairs and Trade at</w:t>
      </w:r>
      <w:r>
        <w:t xml:space="preserve"> </w:t>
      </w:r>
      <w:r w:rsidRPr="008D13A9">
        <w:rPr>
          <w:rFonts w:eastAsiaTheme="minorHAnsi"/>
          <w:bCs w:val="0"/>
          <w:sz w:val="22"/>
          <w:szCs w:val="20"/>
        </w:rPr>
        <w:t>foreignarrangements</w:t>
      </w:r>
      <w:hyperlink r:id="rId8" w:history="1">
        <w:r w:rsidRPr="008D13A9">
          <w:rPr>
            <w:rFonts w:eastAsiaTheme="minorHAnsi"/>
            <w:bCs w:val="0"/>
            <w:sz w:val="22"/>
            <w:szCs w:val="20"/>
          </w:rPr>
          <w:t>@dfat.gov.au</w:t>
        </w:r>
      </w:hyperlink>
      <w:r>
        <w:rPr>
          <w:rFonts w:eastAsiaTheme="minorHAnsi"/>
          <w:bCs w:val="0"/>
          <w:sz w:val="22"/>
          <w:szCs w:val="20"/>
        </w:rPr>
        <w:t xml:space="preserve"> </w:t>
      </w:r>
      <w:r>
        <w:rPr>
          <w:szCs w:val="20"/>
        </w:rPr>
        <w:t xml:space="preserve"> </w:t>
      </w:r>
    </w:p>
    <w:p w14:paraId="11C918D6" w14:textId="77777777" w:rsidR="006A02E8" w:rsidRDefault="006A02E8" w:rsidP="006A02E8">
      <w:pPr>
        <w:pStyle w:val="BoxHeading"/>
        <w:spacing w:before="120" w:after="0"/>
        <w:rPr>
          <w:szCs w:val="20"/>
        </w:rPr>
      </w:pPr>
    </w:p>
    <w:p w14:paraId="6ACA7221" w14:textId="77777777" w:rsidR="006A02E8" w:rsidRDefault="006A02E8" w:rsidP="006A02E8">
      <w:pPr>
        <w:pStyle w:val="BoxHeading"/>
        <w:spacing w:before="120" w:after="0"/>
        <w:rPr>
          <w:szCs w:val="20"/>
        </w:rPr>
      </w:pPr>
    </w:p>
    <w:p w14:paraId="73894085" w14:textId="77777777" w:rsidR="006A02E8" w:rsidRDefault="006A02E8" w:rsidP="006A02E8">
      <w:pPr>
        <w:pStyle w:val="BoxHeading"/>
        <w:spacing w:before="120" w:after="0"/>
        <w:rPr>
          <w:szCs w:val="20"/>
        </w:rPr>
      </w:pPr>
    </w:p>
    <w:p w14:paraId="737D2D51" w14:textId="77777777" w:rsidR="006A02E8" w:rsidRDefault="006A02E8" w:rsidP="006A02E8">
      <w:pPr>
        <w:pStyle w:val="BoxHeading"/>
        <w:spacing w:before="120" w:after="0"/>
        <w:rPr>
          <w:szCs w:val="20"/>
        </w:rPr>
      </w:pPr>
    </w:p>
    <w:p w14:paraId="24407822" w14:textId="77777777" w:rsidR="006A02E8" w:rsidRDefault="006A02E8" w:rsidP="006A02E8">
      <w:pPr>
        <w:pStyle w:val="BoxHeading"/>
        <w:spacing w:before="120" w:after="0"/>
        <w:rPr>
          <w:szCs w:val="20"/>
        </w:rPr>
      </w:pPr>
    </w:p>
    <w:p w14:paraId="584D85FE" w14:textId="77777777" w:rsidR="006A02E8" w:rsidRDefault="006A02E8" w:rsidP="006A02E8">
      <w:pPr>
        <w:pStyle w:val="BoxHeading"/>
        <w:spacing w:before="120" w:after="0"/>
        <w:rPr>
          <w:szCs w:val="20"/>
        </w:rPr>
      </w:pPr>
    </w:p>
    <w:p w14:paraId="311A52B7" w14:textId="77777777" w:rsidR="006A02E8" w:rsidRDefault="006A02E8" w:rsidP="006A02E8">
      <w:pPr>
        <w:pStyle w:val="BoxHeading"/>
        <w:spacing w:before="120" w:after="0"/>
        <w:rPr>
          <w:szCs w:val="20"/>
        </w:rPr>
      </w:pPr>
    </w:p>
    <w:p w14:paraId="59E41078" w14:textId="77777777" w:rsidR="006A02E8" w:rsidRDefault="006A02E8" w:rsidP="006A02E8">
      <w:pPr>
        <w:pStyle w:val="BoxHeading"/>
        <w:spacing w:before="120" w:after="0"/>
        <w:rPr>
          <w:szCs w:val="20"/>
        </w:rPr>
      </w:pPr>
    </w:p>
    <w:p w14:paraId="1D58AB34" w14:textId="77777777" w:rsidR="006A02E8" w:rsidRDefault="006A02E8" w:rsidP="006A02E8">
      <w:pPr>
        <w:pStyle w:val="BoxHeading"/>
        <w:spacing w:before="120" w:after="0"/>
        <w:rPr>
          <w:szCs w:val="20"/>
        </w:rPr>
      </w:pPr>
    </w:p>
    <w:p w14:paraId="6DACBB09" w14:textId="77777777" w:rsidR="006A02E8" w:rsidRDefault="006A02E8" w:rsidP="006A02E8">
      <w:pPr>
        <w:pStyle w:val="BoxHeading"/>
        <w:spacing w:before="120" w:after="0"/>
        <w:rPr>
          <w:szCs w:val="20"/>
        </w:rPr>
      </w:pPr>
    </w:p>
    <w:p w14:paraId="16903D9C" w14:textId="77777777" w:rsidR="006A02E8" w:rsidRDefault="006A02E8" w:rsidP="006A02E8">
      <w:pPr>
        <w:pStyle w:val="BoxHeading"/>
        <w:spacing w:before="120" w:after="0"/>
        <w:rPr>
          <w:szCs w:val="20"/>
        </w:rPr>
      </w:pPr>
    </w:p>
    <w:p w14:paraId="36984E88" w14:textId="77777777" w:rsidR="006A02E8" w:rsidRDefault="006A02E8" w:rsidP="006A02E8">
      <w:pPr>
        <w:pStyle w:val="BoxHeading"/>
        <w:spacing w:before="120" w:after="0"/>
        <w:rPr>
          <w:szCs w:val="20"/>
        </w:rPr>
      </w:pPr>
    </w:p>
    <w:p w14:paraId="0C098E7A" w14:textId="77777777" w:rsidR="006A02E8" w:rsidRDefault="006A02E8" w:rsidP="006A02E8">
      <w:pPr>
        <w:pStyle w:val="BoxHeading"/>
        <w:spacing w:before="120" w:after="0"/>
        <w:rPr>
          <w:szCs w:val="20"/>
        </w:rPr>
      </w:pPr>
    </w:p>
    <w:p w14:paraId="65AB9457" w14:textId="77777777" w:rsidR="006A02E8" w:rsidRDefault="006A02E8" w:rsidP="006A02E8">
      <w:pPr>
        <w:pStyle w:val="BoxHeading"/>
        <w:spacing w:before="120" w:after="0"/>
        <w:rPr>
          <w:szCs w:val="20"/>
        </w:rPr>
      </w:pPr>
    </w:p>
    <w:p w14:paraId="0266CC63" w14:textId="77777777" w:rsidR="006A02E8" w:rsidRDefault="006A02E8" w:rsidP="006A02E8">
      <w:pPr>
        <w:pStyle w:val="BoxHeading"/>
        <w:spacing w:before="120" w:after="0"/>
        <w:rPr>
          <w:szCs w:val="20"/>
        </w:rPr>
      </w:pPr>
    </w:p>
    <w:p w14:paraId="3CBBB254" w14:textId="77777777" w:rsidR="006A02E8" w:rsidRDefault="006A02E8" w:rsidP="006A02E8">
      <w:pPr>
        <w:pStyle w:val="BoxHeading"/>
        <w:spacing w:before="120" w:after="0"/>
        <w:rPr>
          <w:szCs w:val="20"/>
        </w:rPr>
      </w:pPr>
    </w:p>
    <w:p w14:paraId="07B51B7C" w14:textId="77777777" w:rsidR="006A02E8" w:rsidRDefault="006A02E8" w:rsidP="006A02E8">
      <w:pPr>
        <w:pStyle w:val="BoxHeading"/>
        <w:spacing w:before="120" w:after="0"/>
        <w:rPr>
          <w:szCs w:val="20"/>
        </w:rPr>
      </w:pPr>
    </w:p>
    <w:p w14:paraId="49EC1BCB" w14:textId="38DBF898" w:rsidR="006A02E8" w:rsidRDefault="006A02E8" w:rsidP="006A02E8">
      <w:pPr>
        <w:pStyle w:val="BoxHeading"/>
        <w:spacing w:before="120" w:after="0"/>
        <w:rPr>
          <w:szCs w:val="20"/>
        </w:rPr>
      </w:pPr>
    </w:p>
    <w:p w14:paraId="69DCA486" w14:textId="50A0A98E" w:rsidR="006A02E8" w:rsidRDefault="006A02E8" w:rsidP="006A02E8">
      <w:pPr>
        <w:pStyle w:val="BoxHeading"/>
        <w:spacing w:before="120" w:after="0"/>
        <w:rPr>
          <w:szCs w:val="20"/>
        </w:rPr>
      </w:pPr>
    </w:p>
    <w:p w14:paraId="5535E9D7" w14:textId="77777777" w:rsidR="006A02E8" w:rsidRDefault="006A02E8" w:rsidP="006A02E8">
      <w:pPr>
        <w:pStyle w:val="BoxHeading"/>
        <w:spacing w:before="120" w:after="0"/>
        <w:rPr>
          <w:szCs w:val="20"/>
        </w:rPr>
      </w:pPr>
    </w:p>
    <w:p w14:paraId="01F319FC" w14:textId="77777777" w:rsidR="006A02E8" w:rsidRDefault="006A02E8" w:rsidP="006A02E8">
      <w:pPr>
        <w:pStyle w:val="BoxHeading"/>
        <w:spacing w:before="120" w:after="0"/>
        <w:rPr>
          <w:szCs w:val="20"/>
        </w:rPr>
      </w:pPr>
    </w:p>
    <w:p w14:paraId="663886DA" w14:textId="77777777" w:rsidR="006A02E8" w:rsidRDefault="006A02E8" w:rsidP="006A02E8">
      <w:pPr>
        <w:pStyle w:val="BoxHeading"/>
        <w:spacing w:before="120" w:after="0"/>
      </w:pPr>
    </w:p>
    <w:p w14:paraId="48FDDE08" w14:textId="7BAC78CC" w:rsidR="00A55608" w:rsidRPr="00E24793" w:rsidRDefault="00A55608" w:rsidP="00E24793"/>
    <w:sectPr w:rsidR="00A55608" w:rsidRPr="00E24793" w:rsidSect="001711E2">
      <w:headerReference w:type="default" r:id="rId9"/>
      <w:headerReference w:type="first" r:id="rId10"/>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E4038" w14:textId="77777777" w:rsidR="00E334BD" w:rsidRDefault="00E334BD" w:rsidP="00D37B04">
      <w:r>
        <w:separator/>
      </w:r>
    </w:p>
  </w:endnote>
  <w:endnote w:type="continuationSeparator" w:id="0">
    <w:p w14:paraId="6EAD89F8" w14:textId="77777777" w:rsidR="00E334BD" w:rsidRDefault="00E334BD" w:rsidP="00D37B04">
      <w:r>
        <w:continuationSeparator/>
      </w:r>
    </w:p>
  </w:endnote>
  <w:endnote w:id="1">
    <w:p w14:paraId="219A3CC8" w14:textId="77777777" w:rsidR="006A02E8" w:rsidRDefault="006A02E8" w:rsidP="006A02E8">
      <w:pPr>
        <w:pStyle w:val="EndnoteText"/>
        <w:rPr>
          <w:lang w:val="en-AU"/>
        </w:rPr>
      </w:pPr>
      <w:r>
        <w:rPr>
          <w:rStyle w:val="EndnoteReference"/>
        </w:rPr>
        <w:endnoteRef/>
      </w:r>
      <w:r>
        <w:t xml:space="preserve"> </w:t>
      </w:r>
      <w:r>
        <w:rPr>
          <w:sz w:val="18"/>
          <w:szCs w:val="18"/>
        </w:rPr>
        <w:t xml:space="preserve">* </w:t>
      </w:r>
      <w:r>
        <w:rPr>
          <w:sz w:val="17"/>
          <w:szCs w:val="17"/>
        </w:rPr>
        <w:t>This FACT SHEET sets out some of the requirements of the Australia’s Foreign Relations (State and Territory Arrangements) Act 2020.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118A4" w14:textId="77777777" w:rsidR="00E334BD" w:rsidRPr="008C5A0E" w:rsidRDefault="00E334BD" w:rsidP="00D37B04">
      <w:pPr>
        <w:pStyle w:val="Footer"/>
      </w:pPr>
    </w:p>
  </w:footnote>
  <w:footnote w:type="continuationSeparator" w:id="0">
    <w:p w14:paraId="75853F11" w14:textId="77777777" w:rsidR="00E334BD" w:rsidRDefault="00E334BD"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0672"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3728B132" wp14:editId="7095444C">
          <wp:simplePos x="0" y="0"/>
          <wp:positionH relativeFrom="page">
            <wp:posOffset>12700</wp:posOffset>
          </wp:positionH>
          <wp:positionV relativeFrom="page">
            <wp:posOffset>0</wp:posOffset>
          </wp:positionV>
          <wp:extent cx="7559675" cy="10692765"/>
          <wp:effectExtent l="0" t="0" r="317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1255" w14:textId="77777777" w:rsidR="002D5B25" w:rsidRDefault="002D5B25" w:rsidP="002D5B25">
    <w:pPr>
      <w:pStyle w:val="Header"/>
    </w:pPr>
  </w:p>
  <w:p w14:paraId="56CFC881" w14:textId="77777777" w:rsidR="00E03060" w:rsidRDefault="002D5B25" w:rsidP="00943730">
    <w:pPr>
      <w:pStyle w:val="Header"/>
    </w:pPr>
    <w:r w:rsidRPr="00943730">
      <w:fldChar w:fldCharType="begin"/>
    </w:r>
    <w:r w:rsidRPr="00943730">
      <w:instrText xml:space="preserve"> DATE  \@ "MMMM yyyy"  \* MERGEFORMAT </w:instrText>
    </w:r>
    <w:r w:rsidRPr="00943730">
      <w:fldChar w:fldCharType="separate"/>
    </w:r>
    <w:r w:rsidR="00E03060">
      <w:rPr>
        <w:noProof/>
      </w:rPr>
      <w:t>December 2020</w:t>
    </w:r>
    <w:r w:rsidRPr="00943730">
      <w:fldChar w:fldCharType="end"/>
    </w:r>
  </w:p>
  <w:p w14:paraId="043F0BA7" w14:textId="77777777" w:rsidR="00E03060" w:rsidRDefault="00E03060" w:rsidP="00943730">
    <w:pPr>
      <w:pStyle w:val="Header"/>
    </w:pPr>
  </w:p>
  <w:p w14:paraId="05CE15A2" w14:textId="7C4BD533" w:rsidR="00D37B04" w:rsidRPr="00943730" w:rsidRDefault="002D5B25" w:rsidP="00943730">
    <w:pPr>
      <w:pStyle w:val="Header"/>
    </w:pPr>
    <w:r w:rsidRPr="00943730">
      <w:rPr>
        <w:noProof/>
        <w:lang w:val="en-AU" w:eastAsia="en-AU"/>
      </w:rPr>
      <w:drawing>
        <wp:inline distT="0" distB="0" distL="0" distR="0" wp14:anchorId="16075829" wp14:editId="061D040F">
          <wp:extent cx="3166745" cy="554355"/>
          <wp:effectExtent l="0" t="0" r="0" b="0"/>
          <wp:docPr id="28" name="Picture 28"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207FB2FE" wp14:editId="296A1019">
          <wp:simplePos x="0" y="0"/>
          <wp:positionH relativeFrom="page">
            <wp:posOffset>12700</wp:posOffset>
          </wp:positionH>
          <wp:positionV relativeFrom="page">
            <wp:posOffset>0</wp:posOffset>
          </wp:positionV>
          <wp:extent cx="7559040" cy="10692765"/>
          <wp:effectExtent l="0" t="0" r="381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457071E"/>
    <w:multiLevelType w:val="hybridMultilevel"/>
    <w:tmpl w:val="645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191612AA"/>
    <w:multiLevelType w:val="hybridMultilevel"/>
    <w:tmpl w:val="6DCEEA88"/>
    <w:lvl w:ilvl="0" w:tplc="63842D9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453D2F"/>
    <w:multiLevelType w:val="multilevel"/>
    <w:tmpl w:val="51963F56"/>
    <w:numStyleLink w:val="BulletsList"/>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1DA2E64"/>
    <w:multiLevelType w:val="hybridMultilevel"/>
    <w:tmpl w:val="E780C9F4"/>
    <w:lvl w:ilvl="0" w:tplc="C6D2D8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3107305"/>
    <w:multiLevelType w:val="multilevel"/>
    <w:tmpl w:val="51963F5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56E43F2"/>
    <w:multiLevelType w:val="hybridMultilevel"/>
    <w:tmpl w:val="D7C64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82031D"/>
    <w:multiLevelType w:val="hybridMultilevel"/>
    <w:tmpl w:val="2B8029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7"/>
  </w:num>
  <w:num w:numId="6">
    <w:abstractNumId w:val="5"/>
  </w:num>
  <w:num w:numId="7">
    <w:abstractNumId w:val="0"/>
  </w:num>
  <w:num w:numId="8">
    <w:abstractNumId w:val="2"/>
  </w:num>
  <w:num w:numId="9">
    <w:abstractNumId w:val="12"/>
  </w:num>
  <w:num w:numId="10">
    <w:abstractNumId w:val="4"/>
  </w:num>
  <w:num w:numId="11">
    <w:abstractNumId w:val="4"/>
  </w:num>
  <w:num w:numId="12">
    <w:abstractNumId w:val="4"/>
  </w:num>
  <w:num w:numId="13">
    <w:abstractNumId w:val="4"/>
  </w:num>
  <w:num w:numId="14">
    <w:abstractNumId w:val="3"/>
  </w:num>
  <w:num w:numId="15">
    <w:abstractNumId w:val="8"/>
  </w:num>
  <w:num w:numId="16">
    <w:abstractNumId w:val="1"/>
  </w:num>
  <w:num w:numId="17">
    <w:abstractNumId w:val="10"/>
  </w:num>
  <w:num w:numId="18">
    <w:abstractNumId w:val="4"/>
    <w:lvlOverride w:ilvl="5">
      <w:lvl w:ilvl="5">
        <w:start w:val="1"/>
        <w:numFmt w:val="lowerRoman"/>
        <w:lvlText w:val="(%6)"/>
        <w:lvlJc w:val="left"/>
        <w:pPr>
          <w:ind w:left="1704" w:hanging="284"/>
        </w:pPr>
        <w:rPr>
          <w:rFonts w:hint="default"/>
        </w:rPr>
      </w:lvl>
    </w:lvlOverride>
  </w:num>
  <w:num w:numId="1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DA8"/>
    <w:rsid w:val="000020C1"/>
    <w:rsid w:val="0002080A"/>
    <w:rsid w:val="0002782F"/>
    <w:rsid w:val="00031486"/>
    <w:rsid w:val="00035BBF"/>
    <w:rsid w:val="00044868"/>
    <w:rsid w:val="00050806"/>
    <w:rsid w:val="000546D9"/>
    <w:rsid w:val="00054E4D"/>
    <w:rsid w:val="00060073"/>
    <w:rsid w:val="000616C6"/>
    <w:rsid w:val="00076F1B"/>
    <w:rsid w:val="000854FD"/>
    <w:rsid w:val="00086936"/>
    <w:rsid w:val="00094D42"/>
    <w:rsid w:val="00097A1A"/>
    <w:rsid w:val="000A407E"/>
    <w:rsid w:val="000B37F5"/>
    <w:rsid w:val="000B4865"/>
    <w:rsid w:val="000C1D20"/>
    <w:rsid w:val="000C3208"/>
    <w:rsid w:val="000D66D6"/>
    <w:rsid w:val="000E52B8"/>
    <w:rsid w:val="000E5C8C"/>
    <w:rsid w:val="000E6399"/>
    <w:rsid w:val="000F741A"/>
    <w:rsid w:val="00102A6A"/>
    <w:rsid w:val="00103CF5"/>
    <w:rsid w:val="00106715"/>
    <w:rsid w:val="00113288"/>
    <w:rsid w:val="00115AEF"/>
    <w:rsid w:val="00116AD7"/>
    <w:rsid w:val="001214BE"/>
    <w:rsid w:val="0013101C"/>
    <w:rsid w:val="001461D6"/>
    <w:rsid w:val="001541EA"/>
    <w:rsid w:val="00155932"/>
    <w:rsid w:val="001562A0"/>
    <w:rsid w:val="0016664C"/>
    <w:rsid w:val="001711E2"/>
    <w:rsid w:val="001952E7"/>
    <w:rsid w:val="001A64BF"/>
    <w:rsid w:val="001D0CFD"/>
    <w:rsid w:val="001D663E"/>
    <w:rsid w:val="001E1DC0"/>
    <w:rsid w:val="001E548C"/>
    <w:rsid w:val="001E6D20"/>
    <w:rsid w:val="001F29F2"/>
    <w:rsid w:val="001F74E4"/>
    <w:rsid w:val="00203533"/>
    <w:rsid w:val="00204EC4"/>
    <w:rsid w:val="00207FF9"/>
    <w:rsid w:val="00244229"/>
    <w:rsid w:val="00265C21"/>
    <w:rsid w:val="00281BF2"/>
    <w:rsid w:val="0028602A"/>
    <w:rsid w:val="00295342"/>
    <w:rsid w:val="00296826"/>
    <w:rsid w:val="0029768D"/>
    <w:rsid w:val="002A27E6"/>
    <w:rsid w:val="002A66B4"/>
    <w:rsid w:val="002B152C"/>
    <w:rsid w:val="002B5E10"/>
    <w:rsid w:val="002B7E31"/>
    <w:rsid w:val="002C022B"/>
    <w:rsid w:val="002C793D"/>
    <w:rsid w:val="002D5B25"/>
    <w:rsid w:val="002F4F2B"/>
    <w:rsid w:val="003002C0"/>
    <w:rsid w:val="00301144"/>
    <w:rsid w:val="003031C6"/>
    <w:rsid w:val="00304984"/>
    <w:rsid w:val="00306D60"/>
    <w:rsid w:val="00312BF8"/>
    <w:rsid w:val="003148B7"/>
    <w:rsid w:val="003158C3"/>
    <w:rsid w:val="00316EC3"/>
    <w:rsid w:val="00321953"/>
    <w:rsid w:val="00324FA2"/>
    <w:rsid w:val="003274CD"/>
    <w:rsid w:val="00333501"/>
    <w:rsid w:val="003457C4"/>
    <w:rsid w:val="003470D8"/>
    <w:rsid w:val="0035119D"/>
    <w:rsid w:val="00374741"/>
    <w:rsid w:val="0039344A"/>
    <w:rsid w:val="003B4F12"/>
    <w:rsid w:val="003C6C4F"/>
    <w:rsid w:val="003D2290"/>
    <w:rsid w:val="003E55A3"/>
    <w:rsid w:val="003F2041"/>
    <w:rsid w:val="00402ACC"/>
    <w:rsid w:val="00403943"/>
    <w:rsid w:val="00405FC4"/>
    <w:rsid w:val="004120EC"/>
    <w:rsid w:val="00415325"/>
    <w:rsid w:val="00423F31"/>
    <w:rsid w:val="00426AF2"/>
    <w:rsid w:val="00431899"/>
    <w:rsid w:val="004702CB"/>
    <w:rsid w:val="00482AE8"/>
    <w:rsid w:val="00486804"/>
    <w:rsid w:val="004942F6"/>
    <w:rsid w:val="004B3775"/>
    <w:rsid w:val="004D0BA0"/>
    <w:rsid w:val="004D7A69"/>
    <w:rsid w:val="004E058F"/>
    <w:rsid w:val="004E3B87"/>
    <w:rsid w:val="004F01EC"/>
    <w:rsid w:val="004F6152"/>
    <w:rsid w:val="00501398"/>
    <w:rsid w:val="00510921"/>
    <w:rsid w:val="00510AD3"/>
    <w:rsid w:val="00513348"/>
    <w:rsid w:val="00513AD8"/>
    <w:rsid w:val="005204D2"/>
    <w:rsid w:val="00522396"/>
    <w:rsid w:val="00524117"/>
    <w:rsid w:val="005250C5"/>
    <w:rsid w:val="00533B5D"/>
    <w:rsid w:val="00543D5C"/>
    <w:rsid w:val="0055046C"/>
    <w:rsid w:val="00567266"/>
    <w:rsid w:val="00587B3C"/>
    <w:rsid w:val="00596166"/>
    <w:rsid w:val="005A20F6"/>
    <w:rsid w:val="005B6905"/>
    <w:rsid w:val="005D2646"/>
    <w:rsid w:val="005D279B"/>
    <w:rsid w:val="005D2C61"/>
    <w:rsid w:val="005D3655"/>
    <w:rsid w:val="005E4830"/>
    <w:rsid w:val="00622B86"/>
    <w:rsid w:val="00623BA1"/>
    <w:rsid w:val="00627FD4"/>
    <w:rsid w:val="006346BC"/>
    <w:rsid w:val="006454F0"/>
    <w:rsid w:val="00655503"/>
    <w:rsid w:val="0066652A"/>
    <w:rsid w:val="006719C3"/>
    <w:rsid w:val="0067797F"/>
    <w:rsid w:val="00680522"/>
    <w:rsid w:val="00682167"/>
    <w:rsid w:val="00692D96"/>
    <w:rsid w:val="006A02E8"/>
    <w:rsid w:val="006C42AF"/>
    <w:rsid w:val="006D6E15"/>
    <w:rsid w:val="006E2E69"/>
    <w:rsid w:val="006F04F1"/>
    <w:rsid w:val="006F5EEF"/>
    <w:rsid w:val="0070384E"/>
    <w:rsid w:val="00705AC9"/>
    <w:rsid w:val="00711D8E"/>
    <w:rsid w:val="00712672"/>
    <w:rsid w:val="00734E3F"/>
    <w:rsid w:val="00736985"/>
    <w:rsid w:val="00745DF5"/>
    <w:rsid w:val="0074692E"/>
    <w:rsid w:val="00750C83"/>
    <w:rsid w:val="007619E0"/>
    <w:rsid w:val="0076250F"/>
    <w:rsid w:val="00766301"/>
    <w:rsid w:val="00780FA5"/>
    <w:rsid w:val="0078566B"/>
    <w:rsid w:val="007B6200"/>
    <w:rsid w:val="007C70DD"/>
    <w:rsid w:val="007D51B3"/>
    <w:rsid w:val="007E556D"/>
    <w:rsid w:val="007E7D68"/>
    <w:rsid w:val="007F3395"/>
    <w:rsid w:val="00801B9F"/>
    <w:rsid w:val="0080204D"/>
    <w:rsid w:val="0080448B"/>
    <w:rsid w:val="008270F0"/>
    <w:rsid w:val="00837427"/>
    <w:rsid w:val="0084191E"/>
    <w:rsid w:val="008475F0"/>
    <w:rsid w:val="00850910"/>
    <w:rsid w:val="008557A7"/>
    <w:rsid w:val="00870928"/>
    <w:rsid w:val="00872AA6"/>
    <w:rsid w:val="0089405C"/>
    <w:rsid w:val="00897FA2"/>
    <w:rsid w:val="008A5AFE"/>
    <w:rsid w:val="008C30D4"/>
    <w:rsid w:val="008C5A0E"/>
    <w:rsid w:val="008D5CDB"/>
    <w:rsid w:val="008D6DCD"/>
    <w:rsid w:val="008F24E7"/>
    <w:rsid w:val="009068E3"/>
    <w:rsid w:val="00916E1F"/>
    <w:rsid w:val="00920046"/>
    <w:rsid w:val="0092157F"/>
    <w:rsid w:val="00922950"/>
    <w:rsid w:val="009330B3"/>
    <w:rsid w:val="0094139D"/>
    <w:rsid w:val="00943730"/>
    <w:rsid w:val="00965398"/>
    <w:rsid w:val="009704CA"/>
    <w:rsid w:val="00975CA5"/>
    <w:rsid w:val="009838B0"/>
    <w:rsid w:val="00986590"/>
    <w:rsid w:val="009869BF"/>
    <w:rsid w:val="00992C76"/>
    <w:rsid w:val="00995889"/>
    <w:rsid w:val="009969D6"/>
    <w:rsid w:val="009A47F6"/>
    <w:rsid w:val="009B4D3B"/>
    <w:rsid w:val="009D5259"/>
    <w:rsid w:val="009D7407"/>
    <w:rsid w:val="009E0866"/>
    <w:rsid w:val="009E273C"/>
    <w:rsid w:val="009F1350"/>
    <w:rsid w:val="009F6423"/>
    <w:rsid w:val="00A22962"/>
    <w:rsid w:val="00A238F1"/>
    <w:rsid w:val="00A24A62"/>
    <w:rsid w:val="00A24CBE"/>
    <w:rsid w:val="00A315AC"/>
    <w:rsid w:val="00A31C9F"/>
    <w:rsid w:val="00A4144F"/>
    <w:rsid w:val="00A51F06"/>
    <w:rsid w:val="00A55608"/>
    <w:rsid w:val="00A61B4D"/>
    <w:rsid w:val="00A62777"/>
    <w:rsid w:val="00A62EEB"/>
    <w:rsid w:val="00A63400"/>
    <w:rsid w:val="00A80F95"/>
    <w:rsid w:val="00A82C60"/>
    <w:rsid w:val="00A97BF1"/>
    <w:rsid w:val="00AA298A"/>
    <w:rsid w:val="00AA2CB9"/>
    <w:rsid w:val="00AB0D54"/>
    <w:rsid w:val="00AC164A"/>
    <w:rsid w:val="00AD646B"/>
    <w:rsid w:val="00AE448A"/>
    <w:rsid w:val="00AE4E9A"/>
    <w:rsid w:val="00AF2050"/>
    <w:rsid w:val="00B02B2A"/>
    <w:rsid w:val="00B03CA8"/>
    <w:rsid w:val="00B0677D"/>
    <w:rsid w:val="00B33C0A"/>
    <w:rsid w:val="00B43043"/>
    <w:rsid w:val="00B55E19"/>
    <w:rsid w:val="00B635ED"/>
    <w:rsid w:val="00B67F43"/>
    <w:rsid w:val="00B80CE6"/>
    <w:rsid w:val="00B857E1"/>
    <w:rsid w:val="00B94758"/>
    <w:rsid w:val="00BA282A"/>
    <w:rsid w:val="00BA4B6D"/>
    <w:rsid w:val="00BB26C5"/>
    <w:rsid w:val="00BB7958"/>
    <w:rsid w:val="00BC3055"/>
    <w:rsid w:val="00BF4DE6"/>
    <w:rsid w:val="00C06B13"/>
    <w:rsid w:val="00C27D25"/>
    <w:rsid w:val="00C35791"/>
    <w:rsid w:val="00C37087"/>
    <w:rsid w:val="00C42541"/>
    <w:rsid w:val="00C42CDE"/>
    <w:rsid w:val="00C42EB7"/>
    <w:rsid w:val="00C5182A"/>
    <w:rsid w:val="00C60108"/>
    <w:rsid w:val="00C63EE9"/>
    <w:rsid w:val="00C9161E"/>
    <w:rsid w:val="00C92B56"/>
    <w:rsid w:val="00CA16F3"/>
    <w:rsid w:val="00CA37B1"/>
    <w:rsid w:val="00CB11B2"/>
    <w:rsid w:val="00CB1959"/>
    <w:rsid w:val="00CC741B"/>
    <w:rsid w:val="00CC75F5"/>
    <w:rsid w:val="00CD0E4B"/>
    <w:rsid w:val="00CD591A"/>
    <w:rsid w:val="00CE1941"/>
    <w:rsid w:val="00CE3E15"/>
    <w:rsid w:val="00CE43EF"/>
    <w:rsid w:val="00CE4460"/>
    <w:rsid w:val="00CE4C89"/>
    <w:rsid w:val="00CE6D3F"/>
    <w:rsid w:val="00CF07BA"/>
    <w:rsid w:val="00D0296C"/>
    <w:rsid w:val="00D12214"/>
    <w:rsid w:val="00D12B79"/>
    <w:rsid w:val="00D201C4"/>
    <w:rsid w:val="00D32D6F"/>
    <w:rsid w:val="00D37B04"/>
    <w:rsid w:val="00D540C6"/>
    <w:rsid w:val="00D64BD1"/>
    <w:rsid w:val="00D71A2E"/>
    <w:rsid w:val="00D77F19"/>
    <w:rsid w:val="00D80E02"/>
    <w:rsid w:val="00D92254"/>
    <w:rsid w:val="00D97473"/>
    <w:rsid w:val="00DE084C"/>
    <w:rsid w:val="00DF51C8"/>
    <w:rsid w:val="00E00ED1"/>
    <w:rsid w:val="00E03060"/>
    <w:rsid w:val="00E14F51"/>
    <w:rsid w:val="00E216F2"/>
    <w:rsid w:val="00E244F2"/>
    <w:rsid w:val="00E24793"/>
    <w:rsid w:val="00E334BD"/>
    <w:rsid w:val="00E351CE"/>
    <w:rsid w:val="00E357B7"/>
    <w:rsid w:val="00E53800"/>
    <w:rsid w:val="00E6081F"/>
    <w:rsid w:val="00E70BA4"/>
    <w:rsid w:val="00E8296D"/>
    <w:rsid w:val="00E8457B"/>
    <w:rsid w:val="00E93E1A"/>
    <w:rsid w:val="00E97DA4"/>
    <w:rsid w:val="00EA04B2"/>
    <w:rsid w:val="00EA20F3"/>
    <w:rsid w:val="00EB191A"/>
    <w:rsid w:val="00EC457C"/>
    <w:rsid w:val="00ED1FD7"/>
    <w:rsid w:val="00ED2831"/>
    <w:rsid w:val="00ED43D1"/>
    <w:rsid w:val="00ED521C"/>
    <w:rsid w:val="00EE4EE1"/>
    <w:rsid w:val="00EF4574"/>
    <w:rsid w:val="00F1090B"/>
    <w:rsid w:val="00F20076"/>
    <w:rsid w:val="00F25A93"/>
    <w:rsid w:val="00F2684E"/>
    <w:rsid w:val="00F50B3F"/>
    <w:rsid w:val="00F50BD7"/>
    <w:rsid w:val="00F5404C"/>
    <w:rsid w:val="00F5606B"/>
    <w:rsid w:val="00F67C6A"/>
    <w:rsid w:val="00F729EF"/>
    <w:rsid w:val="00F77CAE"/>
    <w:rsid w:val="00F82271"/>
    <w:rsid w:val="00F83428"/>
    <w:rsid w:val="00F917FA"/>
    <w:rsid w:val="00F96BB9"/>
    <w:rsid w:val="00FD507A"/>
    <w:rsid w:val="00FE6D51"/>
    <w:rsid w:val="00FE6F2A"/>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85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dfa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F401-7F10-40DD-885C-8BCA60E2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2020-12-23T00:47:00Z</dcterms:created>
  <dcterms:modified xsi:type="dcterms:W3CDTF">2020-12-23T00:47:00Z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aeb103de-e37e-4dbe-ba17-f18851f7662b</vt:lpwstr>
  </property>
  <property fmtid="{D5CDD505-2E9C-101B-9397-08002B2CF9AE}" pid="3" name="SEC">
    <vt:lpwstr>OFFICIAL</vt:lpwstr>
  </property>
</Properties>
</file>